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8A5D" w14:textId="77777777" w:rsidR="00B411FA" w:rsidRPr="008C1D9A" w:rsidRDefault="008C1D9A">
      <w:pPr>
        <w:pStyle w:val="BodyText"/>
        <w:ind w:left="100" w:firstLine="0"/>
        <w:rPr>
          <w:rFonts w:ascii="Times New Roman" w:eastAsia="宋体"/>
          <w:sz w:val="20"/>
          <w:lang w:eastAsia="zh-CN"/>
        </w:rPr>
      </w:pPr>
      <w:r w:rsidRPr="008C1D9A">
        <w:rPr>
          <w:rFonts w:ascii="Times New Roman" w:eastAsia="宋体"/>
          <w:noProof/>
          <w:sz w:val="20"/>
          <w:lang w:eastAsia="zh-CN"/>
        </w:rPr>
        <w:drawing>
          <wp:inline distT="0" distB="0" distL="0" distR="0" wp14:anchorId="1789A459" wp14:editId="1672A527">
            <wp:extent cx="1675768" cy="7858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8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8BB84" w14:textId="77777777" w:rsidR="00B411FA" w:rsidRPr="008C1D9A" w:rsidRDefault="00B411FA">
      <w:pPr>
        <w:pStyle w:val="BodyText"/>
        <w:spacing w:before="16"/>
        <w:ind w:left="0" w:firstLine="0"/>
        <w:rPr>
          <w:rFonts w:ascii="Times New Roman" w:eastAsia="宋体"/>
          <w:lang w:eastAsia="zh-CN"/>
        </w:rPr>
      </w:pPr>
    </w:p>
    <w:p w14:paraId="675EBDD2" w14:textId="1FB98F5F" w:rsidR="00B411FA" w:rsidRPr="008C1D9A" w:rsidRDefault="008C1D9A">
      <w:pPr>
        <w:pStyle w:val="Title"/>
        <w:rPr>
          <w:rFonts w:eastAsia="宋体"/>
          <w:lang w:eastAsia="zh-CN"/>
        </w:rPr>
      </w:pPr>
      <w:r w:rsidRPr="008C1D9A">
        <w:rPr>
          <w:rFonts w:eastAsia="宋体"/>
          <w:lang w:eastAsia="zh-CN"/>
        </w:rPr>
        <w:t>志愿服务方法的基础</w:t>
      </w:r>
      <w:r w:rsidR="001671FE">
        <w:rPr>
          <w:rFonts w:eastAsia="宋体" w:hint="eastAsia"/>
          <w:lang w:eastAsia="zh-CN"/>
        </w:rPr>
        <w:t>知识</w:t>
      </w:r>
    </w:p>
    <w:p w14:paraId="38A51FB2" w14:textId="77777777" w:rsidR="00B411FA" w:rsidRPr="008C1D9A" w:rsidRDefault="00B411FA">
      <w:pPr>
        <w:pStyle w:val="BodyText"/>
        <w:spacing w:before="272"/>
        <w:ind w:left="0" w:firstLine="0"/>
        <w:rPr>
          <w:rFonts w:eastAsia="宋体"/>
          <w:b/>
          <w:lang w:eastAsia="zh-CN"/>
        </w:rPr>
      </w:pPr>
    </w:p>
    <w:p w14:paraId="31BDB38D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/>
        <w:ind w:right="451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志愿服务方法的基础是，参加服务应该是自愿的，而不是住房或接受其他服务的条件。这种方法强调在工作的各个方面进行尊重和欢迎的行为。服务是由幸存者的需求、愿望和个人目标驱动的。</w:t>
      </w:r>
    </w:p>
    <w:p w14:paraId="559DF16D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75" w:line="242" w:lineRule="auto"/>
        <w:ind w:right="351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这种方法基于这样一种信念，即幸存者应该可以自由地对自己的生活做出自己的决定。</w:t>
      </w:r>
    </w:p>
    <w:p w14:paraId="2743CE32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73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这种方法促进过渡性住房中工作人员和幸存者之间建立关系，作为盟友而非</w:t>
      </w:r>
      <w:r w:rsidRPr="008C1D9A">
        <w:rPr>
          <w:rFonts w:eastAsia="宋体"/>
          <w:sz w:val="24"/>
          <w:lang w:eastAsia="zh-CN"/>
        </w:rPr>
        <w:t>“</w:t>
      </w:r>
      <w:r w:rsidRPr="008C1D9A">
        <w:rPr>
          <w:rFonts w:eastAsia="宋体"/>
          <w:sz w:val="24"/>
          <w:lang w:eastAsia="zh-CN"/>
        </w:rPr>
        <w:t>提供者</w:t>
      </w:r>
      <w:r w:rsidRPr="008C1D9A">
        <w:rPr>
          <w:rFonts w:eastAsia="宋体"/>
          <w:sz w:val="24"/>
          <w:lang w:eastAsia="zh-CN"/>
        </w:rPr>
        <w:t>”</w:t>
      </w:r>
      <w:r w:rsidRPr="008C1D9A">
        <w:rPr>
          <w:rFonts w:eastAsia="宋体"/>
          <w:sz w:val="24"/>
          <w:lang w:eastAsia="zh-CN"/>
        </w:rPr>
        <w:t>工作。然后，这种关系被用于帮助幸存者达到</w:t>
      </w:r>
      <w:r w:rsidRPr="008C1D9A">
        <w:rPr>
          <w:rFonts w:eastAsia="宋体"/>
          <w:sz w:val="24"/>
          <w:u w:val="single"/>
          <w:lang w:eastAsia="zh-CN"/>
        </w:rPr>
        <w:t>他们的</w:t>
      </w:r>
      <w:r w:rsidRPr="008C1D9A">
        <w:rPr>
          <w:rFonts w:eastAsia="宋体"/>
          <w:sz w:val="24"/>
          <w:lang w:eastAsia="zh-CN"/>
        </w:rPr>
        <w:t>目标。</w:t>
      </w:r>
    </w:p>
    <w:p w14:paraId="6F4A27B5" w14:textId="77777777" w:rsidR="00B411FA" w:rsidRPr="008C1D9A" w:rsidRDefault="00B411FA">
      <w:pPr>
        <w:pStyle w:val="BodyText"/>
        <w:spacing w:before="1"/>
        <w:ind w:left="0" w:firstLine="0"/>
        <w:rPr>
          <w:rFonts w:eastAsia="宋体"/>
          <w:lang w:eastAsia="zh-CN"/>
        </w:rPr>
      </w:pPr>
    </w:p>
    <w:p w14:paraId="0AE238E7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99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幸存者的意见是服务和政策的基础。这是为了确保以幸存者为驱动力的方案设计。方案可以实施满意度调查、幸存者焦点小组或其他收集幸存者反馈意见的方法。</w:t>
      </w:r>
    </w:p>
    <w:p w14:paraId="23ADA9FF" w14:textId="77777777" w:rsidR="00B411FA" w:rsidRPr="008C1D9A" w:rsidRDefault="00B411FA">
      <w:pPr>
        <w:pStyle w:val="BodyText"/>
        <w:spacing w:before="2"/>
        <w:ind w:left="0" w:firstLine="0"/>
        <w:rPr>
          <w:rFonts w:eastAsia="宋体"/>
          <w:lang w:eastAsia="zh-CN"/>
        </w:rPr>
      </w:pPr>
    </w:p>
    <w:p w14:paraId="585F5854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241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始终如一地提供服务，以鼓励参加，并确保援助尽可能相关和容易获得。鼓励工作人员酌情提出建议以及表达关切或鼓励，但绝不要求必须参加。</w:t>
      </w:r>
    </w:p>
    <w:p w14:paraId="5CCC6D4C" w14:textId="77777777" w:rsidR="00B411FA" w:rsidRPr="008C1D9A" w:rsidRDefault="00B411FA">
      <w:pPr>
        <w:pStyle w:val="BodyText"/>
        <w:ind w:left="0" w:firstLine="0"/>
        <w:rPr>
          <w:rFonts w:eastAsia="宋体"/>
          <w:lang w:eastAsia="zh-CN"/>
        </w:rPr>
      </w:pPr>
    </w:p>
    <w:p w14:paraId="2989F432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根据幸存者个人的需要和愿望，可以专门提供创造性和不太传统的服务，也可以与更传统的方法结合提供。</w:t>
      </w:r>
    </w:p>
    <w:p w14:paraId="2C69F81C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72" w:line="242" w:lineRule="auto"/>
        <w:ind w:right="499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幸存者的选择和选项受到高度重视和优先考虑。幸存者做出的决定不应该被评判，而是提供进一步讨论和支持的机会。</w:t>
      </w:r>
    </w:p>
    <w:p w14:paraId="78600AC2" w14:textId="77777777" w:rsidR="00B411FA" w:rsidRPr="008C1D9A" w:rsidRDefault="008C1D9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69"/>
        <w:ind w:right="1081"/>
        <w:rPr>
          <w:rFonts w:eastAsia="宋体"/>
          <w:sz w:val="24"/>
          <w:lang w:eastAsia="zh-CN"/>
        </w:rPr>
      </w:pPr>
      <w:r w:rsidRPr="008C1D9A">
        <w:rPr>
          <w:rFonts w:eastAsia="宋体"/>
          <w:sz w:val="24"/>
          <w:lang w:eastAsia="zh-CN"/>
        </w:rPr>
        <w:t>为幸存者提供一个非评判性的安全空间来谈论他们的经历、恐惧、信仰和目标。</w:t>
      </w:r>
    </w:p>
    <w:sectPr w:rsidR="00B411FA" w:rsidRPr="008C1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00" w:bottom="1400" w:left="1340" w:header="0" w:footer="1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D8CE" w14:textId="77777777" w:rsidR="001E06AD" w:rsidRDefault="001E06AD">
      <w:r>
        <w:separator/>
      </w:r>
    </w:p>
  </w:endnote>
  <w:endnote w:type="continuationSeparator" w:id="0">
    <w:p w14:paraId="5B76DFA9" w14:textId="77777777" w:rsidR="001E06AD" w:rsidRDefault="001E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0736" w14:textId="77777777" w:rsidR="008C1D9A" w:rsidRDefault="008C1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07B1" w14:textId="77777777" w:rsidR="00B411FA" w:rsidRPr="008C1D9A" w:rsidRDefault="008C1D9A">
    <w:pPr>
      <w:pStyle w:val="BodyText"/>
      <w:spacing w:line="14" w:lineRule="auto"/>
      <w:ind w:left="0" w:firstLine="0"/>
      <w:rPr>
        <w:rFonts w:eastAsia="宋体"/>
        <w:sz w:val="20"/>
        <w:lang w:eastAsia="zh-CN"/>
      </w:rPr>
    </w:pPr>
    <w:r w:rsidRPr="008C1D9A">
      <w:rPr>
        <w:rFonts w:eastAsia="宋体"/>
        <w:noProof/>
        <w:lang w:eastAsia="zh-CN"/>
      </w:rPr>
      <w:drawing>
        <wp:anchor distT="0" distB="0" distL="0" distR="0" simplePos="0" relativeHeight="487560192" behindDoc="1" locked="0" layoutInCell="1" allowOverlap="1" wp14:anchorId="09291E05" wp14:editId="09715FBD">
          <wp:simplePos x="0" y="0"/>
          <wp:positionH relativeFrom="page">
            <wp:posOffset>914400</wp:posOffset>
          </wp:positionH>
          <wp:positionV relativeFrom="page">
            <wp:posOffset>9168169</wp:posOffset>
          </wp:positionV>
          <wp:extent cx="358363" cy="5202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363" cy="520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1D9A">
      <w:rPr>
        <w:rFonts w:eastAsia="宋体"/>
        <w:noProof/>
        <w:lang w:eastAsia="zh-CN"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D7298CB" wp14:editId="105C9A5C">
              <wp:simplePos x="0" y="0"/>
              <wp:positionH relativeFrom="page">
                <wp:posOffset>1378585</wp:posOffset>
              </wp:positionH>
              <wp:positionV relativeFrom="page">
                <wp:posOffset>9157510</wp:posOffset>
              </wp:positionV>
              <wp:extent cx="425831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31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A8381" w14:textId="77777777" w:rsidR="00B411FA" w:rsidRDefault="008C1D9A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>由全美结束家庭暴力网络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 xml:space="preserve"> (National Network to End Domestic Violence)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>与暴力侵害妇女问题办公室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 xml:space="preserve"> (Office on Violence Against Women)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>合作制作。</w:t>
                          </w:r>
                        </w:p>
                        <w:p w14:paraId="01B3BBAB" w14:textId="77777777" w:rsidR="00B411FA" w:rsidRDefault="008C1D9A">
                          <w:pPr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 xml:space="preserve">2017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>年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 xml:space="preserve"> 11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0"/>
                              <w:lang w:eastAsia="zh-CN"/>
                            </w:rPr>
                            <w:t>月修订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298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55pt;margin-top:721.05pt;width:335.3pt;height:36.1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" filled="f" stroked="f">
              <v:textbox inset="0,0,0,0">
                <w:txbxContent>
                  <w:p w14:paraId="4B9A8381" w14:textId="77777777" w:rsidR="00B411FA" w:rsidRDefault="008C1D9A">
                    <w:pPr>
                      <w:spacing w:before="11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>由全美结束家庭暴力网络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 xml:space="preserve"> (National Network to End Domestic Violence)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>与暴力侵害妇女问题办公室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 xml:space="preserve"> (Office on Violence Against Women)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>合作制作。</w:t>
                    </w:r>
                  </w:p>
                  <w:p w14:paraId="01B3BBAB" w14:textId="77777777" w:rsidR="00B411FA" w:rsidRDefault="008C1D9A">
                    <w:pPr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 xml:space="preserve">2017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>年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 xml:space="preserve"> 11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0"/>
                        <w:lang w:eastAsia="zh-CN"/>
                      </w:rPr>
                      <w:t>月修订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88852" w14:textId="77777777" w:rsidR="008C1D9A" w:rsidRDefault="008C1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B6AD6" w14:textId="77777777" w:rsidR="001E06AD" w:rsidRDefault="001E06AD">
      <w:r>
        <w:separator/>
      </w:r>
    </w:p>
  </w:footnote>
  <w:footnote w:type="continuationSeparator" w:id="0">
    <w:p w14:paraId="0062DDE6" w14:textId="77777777" w:rsidR="001E06AD" w:rsidRDefault="001E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9459" w14:textId="77777777" w:rsidR="008C1D9A" w:rsidRDefault="008C1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1AFF" w14:textId="77777777" w:rsidR="008C1D9A" w:rsidRPr="008C1D9A" w:rsidRDefault="008C1D9A">
    <w:pPr>
      <w:pStyle w:val="Header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312B" w14:textId="77777777" w:rsidR="008C1D9A" w:rsidRDefault="008C1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5BE3"/>
    <w:multiLevelType w:val="hybridMultilevel"/>
    <w:tmpl w:val="B1D4B4BE"/>
    <w:lvl w:ilvl="0" w:tplc="7A00EC92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82588E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2" w:tplc="A8D81AA6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3" w:tplc="DB96830A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B05897A4"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ar-SA"/>
      </w:rPr>
    </w:lvl>
    <w:lvl w:ilvl="5" w:tplc="008C4F12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F8323930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ar-SA"/>
      </w:rPr>
    </w:lvl>
    <w:lvl w:ilvl="7" w:tplc="37900314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8" w:tplc="7354C022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</w:abstractNum>
  <w:num w:numId="1" w16cid:durableId="33581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35"/>
  <w:embedSystemFonts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1FA"/>
    <w:rsid w:val="001671FE"/>
    <w:rsid w:val="001E06AD"/>
    <w:rsid w:val="008C1D9A"/>
    <w:rsid w:val="00B411FA"/>
    <w:rsid w:val="00CB2DC5"/>
    <w:rsid w:val="00E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DF80"/>
  <w15:docId w15:val="{2C023117-03FD-4D00-9E70-E0D38A9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right="1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1D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C1D9A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1D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1D9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eolsen</dc:creator>
  <cp:lastModifiedBy>Test</cp:lastModifiedBy>
  <cp:revision>3</cp:revision>
  <dcterms:created xsi:type="dcterms:W3CDTF">2024-08-19T18:24:00Z</dcterms:created>
  <dcterms:modified xsi:type="dcterms:W3CDTF">2024-09-30T18:21:00Z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2024-08-19T00:00:00Z</vt:filetime>
  </property>
</Properties>
</file>