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F92A" w14:textId="77777777" w:rsidR="00F466B3" w:rsidRDefault="00F466B3" w:rsidP="00F466B3">
      <w:pPr>
        <w:pStyle w:val="Header"/>
        <w:rPr>
          <w:rFonts w:asciiTheme="majorHAnsi" w:eastAsiaTheme="majorEastAsia" w:hAnsiTheme="majorHAnsi" w:cstheme="majorBidi"/>
          <w:sz w:val="32"/>
          <w:szCs w:val="32"/>
        </w:rPr>
      </w:pPr>
      <w:r>
        <w:rPr>
          <w:rFonts w:asciiTheme="majorHAnsi" w:eastAsiaTheme="majorEastAsia" w:hAnsiTheme="majorHAnsi" w:cstheme="majorBidi"/>
          <w:sz w:val="32"/>
          <w:szCs w:val="32"/>
        </w:rPr>
        <w:t>MCADSV Fiscal Procedures – Vacation Liability Accruals</w:t>
      </w:r>
    </w:p>
    <w:p w14:paraId="112A1A7D" w14:textId="77777777" w:rsidR="00F466B3" w:rsidRDefault="00F466B3" w:rsidP="00F466B3">
      <w:pPr>
        <w:jc w:val="center"/>
        <w:rPr>
          <w:rFonts w:ascii="Arial" w:hAnsi="Arial" w:cs="Arial"/>
          <w:sz w:val="24"/>
          <w:szCs w:val="24"/>
          <w:u w:val="single"/>
        </w:rPr>
      </w:pPr>
    </w:p>
    <w:p w14:paraId="3F97778F" w14:textId="7198E22F" w:rsidR="00545FB1" w:rsidRPr="00E335DB" w:rsidRDefault="00D1230A" w:rsidP="009E5E6E">
      <w:pPr>
        <w:rPr>
          <w:rFonts w:ascii="Arial" w:hAnsi="Arial" w:cs="Arial"/>
          <w:sz w:val="24"/>
          <w:szCs w:val="24"/>
        </w:rPr>
      </w:pPr>
      <w:r w:rsidRPr="00E335DB">
        <w:rPr>
          <w:rFonts w:ascii="Arial" w:hAnsi="Arial" w:cs="Arial"/>
          <w:sz w:val="24"/>
          <w:szCs w:val="24"/>
          <w:u w:val="single"/>
        </w:rPr>
        <w:t>Vacation Liability</w:t>
      </w:r>
    </w:p>
    <w:p w14:paraId="30D26DCF" w14:textId="528B3B88" w:rsidR="00545FB1" w:rsidRDefault="00CC31EE" w:rsidP="00CC31EE">
      <w:pPr>
        <w:pStyle w:val="ListParagraph"/>
        <w:numPr>
          <w:ilvl w:val="0"/>
          <w:numId w:val="7"/>
        </w:numPr>
        <w:rPr>
          <w:rFonts w:ascii="Arial" w:hAnsi="Arial" w:cs="Arial"/>
          <w:sz w:val="24"/>
          <w:szCs w:val="24"/>
        </w:rPr>
      </w:pPr>
      <w:r w:rsidRPr="00E335DB">
        <w:rPr>
          <w:rFonts w:ascii="Arial" w:hAnsi="Arial" w:cs="Arial"/>
          <w:sz w:val="24"/>
          <w:szCs w:val="24"/>
        </w:rPr>
        <w:t xml:space="preserve">At the end of each month, run a report </w:t>
      </w:r>
      <w:r w:rsidR="00E335DB">
        <w:rPr>
          <w:rFonts w:ascii="Arial" w:hAnsi="Arial" w:cs="Arial"/>
          <w:sz w:val="24"/>
          <w:szCs w:val="24"/>
        </w:rPr>
        <w:t xml:space="preserve">from MIP </w:t>
      </w:r>
      <w:r w:rsidRPr="00E335DB">
        <w:rPr>
          <w:rFonts w:ascii="Arial" w:hAnsi="Arial" w:cs="Arial"/>
          <w:sz w:val="24"/>
          <w:szCs w:val="24"/>
        </w:rPr>
        <w:t xml:space="preserve">and export it to Excel to calculate the percentages by which vacation liability can be allocated.  </w:t>
      </w:r>
      <w:r w:rsidRPr="00E335DB">
        <w:rPr>
          <w:rFonts w:ascii="Arial" w:hAnsi="Arial" w:cs="Arial"/>
          <w:b/>
          <w:sz w:val="24"/>
          <w:szCs w:val="24"/>
        </w:rPr>
        <w:t xml:space="preserve">Reports&gt;Expanded General Ledger&gt;Employee Earnings Distribution.  </w:t>
      </w:r>
      <w:r w:rsidRPr="00E335DB">
        <w:rPr>
          <w:rFonts w:ascii="Arial" w:hAnsi="Arial" w:cs="Arial"/>
          <w:sz w:val="24"/>
          <w:szCs w:val="24"/>
        </w:rPr>
        <w:t>Change the dates to the month you want to allocate and export to Excel. (see screen print, report set up)</w:t>
      </w:r>
    </w:p>
    <w:p w14:paraId="4277B616" w14:textId="20322FBC" w:rsidR="00BF7F6D" w:rsidRDefault="005A7705" w:rsidP="00BF7F6D">
      <w:pPr>
        <w:pStyle w:val="ListParagraph"/>
        <w:rPr>
          <w:rFonts w:ascii="Arial" w:hAnsi="Arial" w:cs="Arial"/>
          <w:sz w:val="24"/>
          <w:szCs w:val="24"/>
        </w:rPr>
      </w:pPr>
      <w:r>
        <w:rPr>
          <w:noProof/>
        </w:rPr>
        <w:drawing>
          <wp:inline distT="0" distB="0" distL="0" distR="0" wp14:anchorId="437AC130" wp14:editId="7DD3CAF7">
            <wp:extent cx="5486400"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03001" cy="4127251"/>
                    </a:xfrm>
                    <a:prstGeom prst="rect">
                      <a:avLst/>
                    </a:prstGeom>
                  </pic:spPr>
                </pic:pic>
              </a:graphicData>
            </a:graphic>
          </wp:inline>
        </w:drawing>
      </w:r>
    </w:p>
    <w:p w14:paraId="405E0CD9" w14:textId="47F48D79" w:rsidR="005A7705" w:rsidRDefault="005A7705" w:rsidP="00BF7F6D">
      <w:pPr>
        <w:pStyle w:val="ListParagraph"/>
        <w:rPr>
          <w:rFonts w:ascii="Arial" w:hAnsi="Arial" w:cs="Arial"/>
          <w:sz w:val="24"/>
          <w:szCs w:val="24"/>
        </w:rPr>
      </w:pPr>
      <w:r>
        <w:rPr>
          <w:noProof/>
        </w:rPr>
        <w:lastRenderedPageBreak/>
        <w:drawing>
          <wp:inline distT="0" distB="0" distL="0" distR="0" wp14:anchorId="370424F4" wp14:editId="7427131B">
            <wp:extent cx="5457825" cy="40933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3803" cy="4112853"/>
                    </a:xfrm>
                    <a:prstGeom prst="rect">
                      <a:avLst/>
                    </a:prstGeom>
                  </pic:spPr>
                </pic:pic>
              </a:graphicData>
            </a:graphic>
          </wp:inline>
        </w:drawing>
      </w:r>
    </w:p>
    <w:p w14:paraId="07C022F5" w14:textId="31A00AD1" w:rsidR="00444AB8" w:rsidRPr="00444AB8" w:rsidRDefault="00444AB8" w:rsidP="00BF7F6D">
      <w:pPr>
        <w:pStyle w:val="ListParagraph"/>
        <w:numPr>
          <w:ilvl w:val="0"/>
          <w:numId w:val="7"/>
        </w:numPr>
        <w:rPr>
          <w:rFonts w:ascii="Arial" w:hAnsi="Arial" w:cs="Arial"/>
          <w:sz w:val="24"/>
          <w:szCs w:val="24"/>
        </w:rPr>
      </w:pPr>
      <w:r w:rsidRPr="00444AB8">
        <w:rPr>
          <w:rFonts w:ascii="Arial" w:hAnsi="Arial" w:cs="Arial"/>
          <w:sz w:val="24"/>
          <w:szCs w:val="24"/>
        </w:rPr>
        <w:t>This will create a new tab for you to label in Excel for the new report data. Save the worksheet so you can continue</w:t>
      </w:r>
    </w:p>
    <w:p w14:paraId="13CB7545" w14:textId="1EE1C764" w:rsidR="00CC31EE" w:rsidRDefault="00CC31EE" w:rsidP="00CC31EE">
      <w:pPr>
        <w:pStyle w:val="ListParagraph"/>
        <w:numPr>
          <w:ilvl w:val="0"/>
          <w:numId w:val="7"/>
        </w:numPr>
        <w:rPr>
          <w:rFonts w:ascii="Arial" w:hAnsi="Arial" w:cs="Arial"/>
          <w:sz w:val="24"/>
          <w:szCs w:val="24"/>
        </w:rPr>
      </w:pPr>
      <w:r w:rsidRPr="00E335DB">
        <w:rPr>
          <w:rFonts w:ascii="Arial" w:hAnsi="Arial" w:cs="Arial"/>
          <w:sz w:val="24"/>
          <w:szCs w:val="24"/>
        </w:rPr>
        <w:t>Once in Excel</w:t>
      </w:r>
      <w:r w:rsidR="00444AB8">
        <w:rPr>
          <w:rFonts w:ascii="Arial" w:hAnsi="Arial" w:cs="Arial"/>
          <w:sz w:val="24"/>
          <w:szCs w:val="24"/>
        </w:rPr>
        <w:t>, on the new worksheet,</w:t>
      </w:r>
      <w:r w:rsidRPr="00E335DB">
        <w:rPr>
          <w:rFonts w:ascii="Arial" w:hAnsi="Arial" w:cs="Arial"/>
          <w:sz w:val="24"/>
          <w:szCs w:val="24"/>
        </w:rPr>
        <w:t xml:space="preserve"> subtotal on ID and sum by Debit.  You can delete the Credit column and change it to percent.  For each line, divide the debit amount by the total amount for the employee and make sure it adds to 100%.  (See sample Excel report with formulas showing)</w:t>
      </w:r>
    </w:p>
    <w:p w14:paraId="56AB19AC" w14:textId="5A7CC6CD" w:rsidR="00444AB8" w:rsidRPr="00E335DB" w:rsidRDefault="002402C1" w:rsidP="00444AB8">
      <w:pPr>
        <w:pStyle w:val="ListParagraph"/>
        <w:rPr>
          <w:rFonts w:ascii="Arial" w:hAnsi="Arial" w:cs="Arial"/>
          <w:sz w:val="24"/>
          <w:szCs w:val="24"/>
        </w:rPr>
      </w:pPr>
      <w:r>
        <w:rPr>
          <w:noProof/>
        </w:rPr>
        <w:lastRenderedPageBreak/>
        <w:drawing>
          <wp:inline distT="0" distB="0" distL="0" distR="0" wp14:anchorId="7FE39EF5" wp14:editId="45F13AAE">
            <wp:extent cx="5435600" cy="407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7948" cy="4078461"/>
                    </a:xfrm>
                    <a:prstGeom prst="rect">
                      <a:avLst/>
                    </a:prstGeom>
                  </pic:spPr>
                </pic:pic>
              </a:graphicData>
            </a:graphic>
          </wp:inline>
        </w:drawing>
      </w:r>
    </w:p>
    <w:p w14:paraId="7F5E8E16" w14:textId="4987CA11" w:rsidR="00CC31EE" w:rsidRPr="00E335DB" w:rsidRDefault="00CC31EE" w:rsidP="00CC31EE">
      <w:pPr>
        <w:pStyle w:val="ListParagraph"/>
        <w:numPr>
          <w:ilvl w:val="0"/>
          <w:numId w:val="7"/>
        </w:numPr>
        <w:rPr>
          <w:rFonts w:ascii="Arial" w:hAnsi="Arial" w:cs="Arial"/>
          <w:sz w:val="24"/>
          <w:szCs w:val="24"/>
        </w:rPr>
      </w:pPr>
      <w:r w:rsidRPr="00E335DB">
        <w:rPr>
          <w:rFonts w:ascii="Arial" w:hAnsi="Arial" w:cs="Arial"/>
          <w:sz w:val="24"/>
          <w:szCs w:val="24"/>
        </w:rPr>
        <w:t xml:space="preserve">The percentages are used in the vacation liability report.  </w:t>
      </w:r>
      <w:r w:rsidR="00E335DB">
        <w:rPr>
          <w:rFonts w:ascii="Arial" w:hAnsi="Arial" w:cs="Arial"/>
          <w:sz w:val="24"/>
          <w:szCs w:val="24"/>
        </w:rPr>
        <w:t>Share Drive</w:t>
      </w:r>
      <w:r w:rsidRPr="00E335DB">
        <w:rPr>
          <w:rFonts w:ascii="Arial" w:hAnsi="Arial" w:cs="Arial"/>
          <w:sz w:val="24"/>
          <w:szCs w:val="24"/>
        </w:rPr>
        <w:t>\Accounting\Vacation Liability\20</w:t>
      </w:r>
      <w:r w:rsidR="00E335DB">
        <w:rPr>
          <w:rFonts w:ascii="Arial" w:hAnsi="Arial" w:cs="Arial"/>
          <w:sz w:val="24"/>
          <w:szCs w:val="24"/>
        </w:rPr>
        <w:t>XX</w:t>
      </w:r>
      <w:r w:rsidRPr="00E335DB">
        <w:rPr>
          <w:rFonts w:ascii="Arial" w:hAnsi="Arial" w:cs="Arial"/>
          <w:sz w:val="24"/>
          <w:szCs w:val="24"/>
        </w:rPr>
        <w:t xml:space="preserve"> Vacation Liability.</w:t>
      </w:r>
    </w:p>
    <w:p w14:paraId="697DE0C5" w14:textId="1AEC9EC1" w:rsidR="00CC31EE" w:rsidRDefault="00CC31EE" w:rsidP="00CC31EE">
      <w:pPr>
        <w:pStyle w:val="ListParagraph"/>
        <w:numPr>
          <w:ilvl w:val="0"/>
          <w:numId w:val="7"/>
        </w:numPr>
        <w:rPr>
          <w:rFonts w:ascii="Arial" w:hAnsi="Arial" w:cs="Arial"/>
          <w:sz w:val="24"/>
          <w:szCs w:val="24"/>
        </w:rPr>
      </w:pPr>
      <w:r w:rsidRPr="00E335DB">
        <w:rPr>
          <w:rFonts w:ascii="Arial" w:hAnsi="Arial" w:cs="Arial"/>
          <w:sz w:val="24"/>
          <w:szCs w:val="24"/>
        </w:rPr>
        <w:t xml:space="preserve">For the column in this report titled Balance Hours (for the new month), use the employee vacation report to enter the total hours remaining for each employee.  It is in the same file as mentioned above and is titled Vacation </w:t>
      </w:r>
      <w:r w:rsidR="00E335DB">
        <w:rPr>
          <w:rFonts w:ascii="Arial" w:hAnsi="Arial" w:cs="Arial"/>
          <w:sz w:val="24"/>
          <w:szCs w:val="24"/>
        </w:rPr>
        <w:t>20XX</w:t>
      </w:r>
      <w:r w:rsidRPr="00E335DB">
        <w:rPr>
          <w:rFonts w:ascii="Arial" w:hAnsi="Arial" w:cs="Arial"/>
          <w:sz w:val="24"/>
          <w:szCs w:val="24"/>
        </w:rPr>
        <w:t xml:space="preserve">.  </w:t>
      </w:r>
    </w:p>
    <w:p w14:paraId="0293054B" w14:textId="343F5057" w:rsidR="002402C1" w:rsidRPr="00E335DB" w:rsidRDefault="008855C0" w:rsidP="008855C0">
      <w:pPr>
        <w:pStyle w:val="ListParagraph"/>
        <w:rPr>
          <w:rFonts w:ascii="Arial" w:hAnsi="Arial" w:cs="Arial"/>
          <w:sz w:val="24"/>
          <w:szCs w:val="24"/>
        </w:rPr>
      </w:pPr>
      <w:r>
        <w:rPr>
          <w:noProof/>
        </w:rPr>
        <w:lastRenderedPageBreak/>
        <w:drawing>
          <wp:inline distT="0" distB="0" distL="0" distR="0" wp14:anchorId="7BF9DD56" wp14:editId="3DB1648F">
            <wp:extent cx="5438775" cy="40790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69429" cy="4102072"/>
                    </a:xfrm>
                    <a:prstGeom prst="rect">
                      <a:avLst/>
                    </a:prstGeom>
                  </pic:spPr>
                </pic:pic>
              </a:graphicData>
            </a:graphic>
          </wp:inline>
        </w:drawing>
      </w:r>
    </w:p>
    <w:p w14:paraId="1D24CC4C" w14:textId="7A21A2F8" w:rsidR="00CC31EE" w:rsidRPr="00E335DB" w:rsidRDefault="00CC31EE" w:rsidP="00CC31EE">
      <w:pPr>
        <w:pStyle w:val="ListParagraph"/>
        <w:numPr>
          <w:ilvl w:val="0"/>
          <w:numId w:val="7"/>
        </w:numPr>
        <w:rPr>
          <w:rFonts w:ascii="Arial" w:hAnsi="Arial" w:cs="Arial"/>
          <w:sz w:val="24"/>
          <w:szCs w:val="24"/>
        </w:rPr>
      </w:pPr>
      <w:r w:rsidRPr="00E335DB">
        <w:rPr>
          <w:rFonts w:ascii="Arial" w:hAnsi="Arial" w:cs="Arial"/>
          <w:sz w:val="24"/>
          <w:szCs w:val="24"/>
        </w:rPr>
        <w:t xml:space="preserve">Once the balance hours have been entered, use the spreadsheet created from MIP data to enter the percentages each employee worked in the different grants.  Make sure the Total % is 100% for each.  The spreadsheet creates the journal voucher entry for MIP (double check that all formulas are working and include all data).  Enter the data in the columns that show the % - like </w:t>
      </w:r>
      <w:r w:rsidR="00657053">
        <w:rPr>
          <w:rFonts w:ascii="Arial" w:hAnsi="Arial" w:cs="Arial"/>
          <w:sz w:val="24"/>
          <w:szCs w:val="24"/>
        </w:rPr>
        <w:t>DOJ</w:t>
      </w:r>
      <w:r w:rsidRPr="00E335DB">
        <w:rPr>
          <w:rFonts w:ascii="Arial" w:hAnsi="Arial" w:cs="Arial"/>
          <w:sz w:val="24"/>
          <w:szCs w:val="24"/>
        </w:rPr>
        <w:t>%.</w:t>
      </w:r>
    </w:p>
    <w:p w14:paraId="27BE3436" w14:textId="77777777" w:rsidR="00CC31EE" w:rsidRPr="00E335DB" w:rsidRDefault="00CC31EE" w:rsidP="00CC31EE">
      <w:pPr>
        <w:pStyle w:val="ListParagraph"/>
        <w:numPr>
          <w:ilvl w:val="0"/>
          <w:numId w:val="7"/>
        </w:numPr>
        <w:rPr>
          <w:rFonts w:ascii="Arial" w:hAnsi="Arial" w:cs="Arial"/>
          <w:sz w:val="24"/>
          <w:szCs w:val="24"/>
        </w:rPr>
      </w:pPr>
      <w:r w:rsidRPr="00E335DB">
        <w:rPr>
          <w:rFonts w:ascii="Arial" w:hAnsi="Arial" w:cs="Arial"/>
          <w:sz w:val="24"/>
          <w:szCs w:val="24"/>
        </w:rPr>
        <w:t xml:space="preserve">Once the spreadsheet is complete, enter the journal voucher into MIP.  </w:t>
      </w:r>
      <w:r w:rsidR="005946B6" w:rsidRPr="00E335DB">
        <w:rPr>
          <w:rFonts w:ascii="Arial" w:hAnsi="Arial" w:cs="Arial"/>
          <w:sz w:val="24"/>
          <w:szCs w:val="24"/>
        </w:rPr>
        <w:t>Give the spreadsheets and Unposted General Ledger Transaction Report to the Administrative Director for review and posting.</w:t>
      </w:r>
    </w:p>
    <w:p w14:paraId="46E5C2B9" w14:textId="7775EC04" w:rsidR="005946B6" w:rsidRDefault="005946B6" w:rsidP="00CC31EE">
      <w:pPr>
        <w:pStyle w:val="ListParagraph"/>
        <w:numPr>
          <w:ilvl w:val="0"/>
          <w:numId w:val="7"/>
        </w:numPr>
        <w:rPr>
          <w:rFonts w:ascii="Arial" w:hAnsi="Arial" w:cs="Arial"/>
          <w:sz w:val="24"/>
          <w:szCs w:val="24"/>
        </w:rPr>
      </w:pPr>
      <w:r w:rsidRPr="00E335DB">
        <w:rPr>
          <w:rFonts w:ascii="Arial" w:hAnsi="Arial" w:cs="Arial"/>
          <w:sz w:val="24"/>
          <w:szCs w:val="24"/>
        </w:rPr>
        <w:t>Everything is then filed in the Vacation Liability binder.</w:t>
      </w:r>
    </w:p>
    <w:p w14:paraId="01EC5343" w14:textId="77777777" w:rsidR="00657053" w:rsidRPr="00657053" w:rsidRDefault="00657053" w:rsidP="00657053">
      <w:pPr>
        <w:rPr>
          <w:rFonts w:ascii="Arial" w:hAnsi="Arial" w:cs="Arial"/>
          <w:sz w:val="24"/>
          <w:szCs w:val="24"/>
        </w:rPr>
      </w:pPr>
    </w:p>
    <w:sectPr w:rsidR="00657053" w:rsidRPr="00657053" w:rsidSect="00F466B3">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B9373" w14:textId="77777777" w:rsidR="009D4DD9" w:rsidRDefault="009D4DD9" w:rsidP="00D91B26">
      <w:pPr>
        <w:spacing w:after="0" w:line="240" w:lineRule="auto"/>
      </w:pPr>
      <w:r>
        <w:separator/>
      </w:r>
    </w:p>
  </w:endnote>
  <w:endnote w:type="continuationSeparator" w:id="0">
    <w:p w14:paraId="713B9367" w14:textId="77777777" w:rsidR="009D4DD9" w:rsidRDefault="009D4DD9" w:rsidP="00D91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0956" w14:textId="77777777" w:rsidR="009D4DD9" w:rsidRDefault="009D4DD9" w:rsidP="00D91B26">
      <w:pPr>
        <w:spacing w:after="0" w:line="240" w:lineRule="auto"/>
      </w:pPr>
      <w:r>
        <w:separator/>
      </w:r>
    </w:p>
  </w:footnote>
  <w:footnote w:type="continuationSeparator" w:id="0">
    <w:p w14:paraId="6E7C83B8" w14:textId="77777777" w:rsidR="009D4DD9" w:rsidRDefault="009D4DD9" w:rsidP="00D91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3AB2" w14:textId="56364EC4" w:rsidR="001F024D" w:rsidRDefault="001F024D">
    <w:pPr>
      <w:pStyle w:val="Header"/>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p>
  <w:p w14:paraId="2B5109BC" w14:textId="3EF1A960" w:rsidR="001F024D" w:rsidRDefault="001F0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A038" w14:textId="490A482F" w:rsidR="007317BC" w:rsidRDefault="00F466B3" w:rsidP="00F466B3">
    <w:pPr>
      <w:pStyle w:val="Header"/>
      <w:jc w:val="center"/>
    </w:pPr>
    <w:r>
      <w:rPr>
        <w:noProof/>
      </w:rPr>
      <w:drawing>
        <wp:inline distT="0" distB="0" distL="0" distR="0" wp14:anchorId="2A8007F8" wp14:editId="58D68BED">
          <wp:extent cx="4017356" cy="989965"/>
          <wp:effectExtent l="0" t="0" r="2540" b="635"/>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6690" cy="10095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46573"/>
    <w:multiLevelType w:val="hybridMultilevel"/>
    <w:tmpl w:val="3EA485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F5007A"/>
    <w:multiLevelType w:val="hybridMultilevel"/>
    <w:tmpl w:val="8A988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764327"/>
    <w:multiLevelType w:val="hybridMultilevel"/>
    <w:tmpl w:val="D8D8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6A3BD7"/>
    <w:multiLevelType w:val="hybridMultilevel"/>
    <w:tmpl w:val="DBE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51C84"/>
    <w:multiLevelType w:val="hybridMultilevel"/>
    <w:tmpl w:val="672A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E1B39"/>
    <w:multiLevelType w:val="hybridMultilevel"/>
    <w:tmpl w:val="467A397A"/>
    <w:lvl w:ilvl="0" w:tplc="78421C8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C77EA5"/>
    <w:multiLevelType w:val="hybridMultilevel"/>
    <w:tmpl w:val="1DC0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295871">
    <w:abstractNumId w:val="5"/>
  </w:num>
  <w:num w:numId="2" w16cid:durableId="779031754">
    <w:abstractNumId w:val="1"/>
  </w:num>
  <w:num w:numId="3" w16cid:durableId="1555846684">
    <w:abstractNumId w:val="4"/>
  </w:num>
  <w:num w:numId="4" w16cid:durableId="752505430">
    <w:abstractNumId w:val="2"/>
  </w:num>
  <w:num w:numId="5" w16cid:durableId="1588416972">
    <w:abstractNumId w:val="0"/>
  </w:num>
  <w:num w:numId="6" w16cid:durableId="528838841">
    <w:abstractNumId w:val="3"/>
  </w:num>
  <w:num w:numId="7" w16cid:durableId="18297098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26"/>
    <w:rsid w:val="00011CB9"/>
    <w:rsid w:val="00017299"/>
    <w:rsid w:val="00052D33"/>
    <w:rsid w:val="000A576F"/>
    <w:rsid w:val="000A6200"/>
    <w:rsid w:val="000F680E"/>
    <w:rsid w:val="00173689"/>
    <w:rsid w:val="001B23B7"/>
    <w:rsid w:val="001C35DF"/>
    <w:rsid w:val="001F024D"/>
    <w:rsid w:val="002217FC"/>
    <w:rsid w:val="002402C1"/>
    <w:rsid w:val="002B72E8"/>
    <w:rsid w:val="002C4C2D"/>
    <w:rsid w:val="002C6F80"/>
    <w:rsid w:val="002C7A2A"/>
    <w:rsid w:val="00300477"/>
    <w:rsid w:val="003C025E"/>
    <w:rsid w:val="0042621B"/>
    <w:rsid w:val="0043402B"/>
    <w:rsid w:val="00444AB8"/>
    <w:rsid w:val="004B722E"/>
    <w:rsid w:val="004E6669"/>
    <w:rsid w:val="005208AA"/>
    <w:rsid w:val="00545FB1"/>
    <w:rsid w:val="005565FA"/>
    <w:rsid w:val="00584527"/>
    <w:rsid w:val="005946B6"/>
    <w:rsid w:val="005A7705"/>
    <w:rsid w:val="005D2FC2"/>
    <w:rsid w:val="00633795"/>
    <w:rsid w:val="00657053"/>
    <w:rsid w:val="00695599"/>
    <w:rsid w:val="006F15B9"/>
    <w:rsid w:val="006F232F"/>
    <w:rsid w:val="007317BC"/>
    <w:rsid w:val="00747B08"/>
    <w:rsid w:val="0076070C"/>
    <w:rsid w:val="00763680"/>
    <w:rsid w:val="007B4F48"/>
    <w:rsid w:val="008020C3"/>
    <w:rsid w:val="0087321B"/>
    <w:rsid w:val="008855C0"/>
    <w:rsid w:val="0091338F"/>
    <w:rsid w:val="00941A58"/>
    <w:rsid w:val="009D134C"/>
    <w:rsid w:val="009D4DD9"/>
    <w:rsid w:val="009E3022"/>
    <w:rsid w:val="009E5E6E"/>
    <w:rsid w:val="00A44F27"/>
    <w:rsid w:val="00A91D56"/>
    <w:rsid w:val="00B07728"/>
    <w:rsid w:val="00BA484C"/>
    <w:rsid w:val="00BF7F6D"/>
    <w:rsid w:val="00C07171"/>
    <w:rsid w:val="00C571BC"/>
    <w:rsid w:val="00C854E4"/>
    <w:rsid w:val="00CC31EE"/>
    <w:rsid w:val="00CD087D"/>
    <w:rsid w:val="00CF220D"/>
    <w:rsid w:val="00D1230A"/>
    <w:rsid w:val="00D613AA"/>
    <w:rsid w:val="00D91B26"/>
    <w:rsid w:val="00E335DB"/>
    <w:rsid w:val="00E7197E"/>
    <w:rsid w:val="00E84C2F"/>
    <w:rsid w:val="00E93555"/>
    <w:rsid w:val="00F044E0"/>
    <w:rsid w:val="00F139F9"/>
    <w:rsid w:val="00F3157E"/>
    <w:rsid w:val="00F4369C"/>
    <w:rsid w:val="00F466B3"/>
    <w:rsid w:val="00FC55DD"/>
    <w:rsid w:val="00FD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90534"/>
  <w15:docId w15:val="{B08022B6-343B-4A68-AB81-AC99797B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B26"/>
  </w:style>
  <w:style w:type="paragraph" w:styleId="Footer">
    <w:name w:val="footer"/>
    <w:basedOn w:val="Normal"/>
    <w:link w:val="FooterChar"/>
    <w:uiPriority w:val="99"/>
    <w:unhideWhenUsed/>
    <w:rsid w:val="00D91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B26"/>
  </w:style>
  <w:style w:type="paragraph" w:styleId="BalloonText">
    <w:name w:val="Balloon Text"/>
    <w:basedOn w:val="Normal"/>
    <w:link w:val="BalloonTextChar"/>
    <w:uiPriority w:val="99"/>
    <w:semiHidden/>
    <w:unhideWhenUsed/>
    <w:rsid w:val="00D91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B26"/>
    <w:rPr>
      <w:rFonts w:ascii="Tahoma" w:hAnsi="Tahoma" w:cs="Tahoma"/>
      <w:sz w:val="16"/>
      <w:szCs w:val="16"/>
    </w:rPr>
  </w:style>
  <w:style w:type="paragraph" w:styleId="ListParagraph">
    <w:name w:val="List Paragraph"/>
    <w:basedOn w:val="Normal"/>
    <w:uiPriority w:val="34"/>
    <w:qFormat/>
    <w:rsid w:val="00052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MCADSV Fiscal Procedures</vt:lpstr>
    </vt:vector>
  </TitlesOfParts>
  <Company>MCADSV</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MCADSV Fiscal Procedures</dc:title>
  <dc:subject/>
  <dc:creator>Kim Ranger</dc:creator>
  <cp:keywords/>
  <dc:description/>
  <cp:lastModifiedBy>Microsoft Office User</cp:lastModifiedBy>
  <cp:revision>2</cp:revision>
  <cp:lastPrinted>2011-08-30T20:54:00Z</cp:lastPrinted>
  <dcterms:created xsi:type="dcterms:W3CDTF">2022-11-15T21:48:00Z</dcterms:created>
  <dcterms:modified xsi:type="dcterms:W3CDTF">2022-11-15T21:48:00Z</dcterms:modified>
</cp:coreProperties>
</file>