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5844" w14:textId="77777777" w:rsidR="00792816" w:rsidRDefault="00792816">
      <w:pPr>
        <w:rPr>
          <w:color w:val="000000" w:themeColor="text1"/>
        </w:rPr>
      </w:pPr>
      <w:r>
        <w:rPr>
          <w:noProof/>
          <w:color w:val="000000" w:themeColor="text1"/>
        </w:rPr>
        <w:drawing>
          <wp:inline distT="0" distB="0" distL="0" distR="0" wp14:anchorId="3AE5A84A" wp14:editId="1775FE1F">
            <wp:extent cx="1423686"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NEDV_logo_name&amp;acronym_color.eps"/>
                    <pic:cNvPicPr/>
                  </pic:nvPicPr>
                  <pic:blipFill>
                    <a:blip r:embed="rId4">
                      <a:extLst>
                        <a:ext uri="{28A0092B-C50C-407E-A947-70E740481C1C}">
                          <a14:useLocalDpi xmlns:a14="http://schemas.microsoft.com/office/drawing/2010/main" val="0"/>
                        </a:ext>
                      </a:extLst>
                    </a:blip>
                    <a:stretch>
                      <a:fillRect/>
                    </a:stretch>
                  </pic:blipFill>
                  <pic:spPr>
                    <a:xfrm>
                      <a:off x="0" y="0"/>
                      <a:ext cx="1445056" cy="798575"/>
                    </a:xfrm>
                    <a:prstGeom prst="rect">
                      <a:avLst/>
                    </a:prstGeom>
                  </pic:spPr>
                </pic:pic>
              </a:graphicData>
            </a:graphic>
          </wp:inline>
        </w:drawing>
      </w:r>
    </w:p>
    <w:p w14:paraId="0974173A" w14:textId="77777777" w:rsidR="00792816" w:rsidRDefault="00792816">
      <w:pPr>
        <w:rPr>
          <w:color w:val="000000" w:themeColor="text1"/>
        </w:rPr>
      </w:pPr>
    </w:p>
    <w:p w14:paraId="45ABBC79" w14:textId="32ACA727" w:rsidR="00674B35" w:rsidRPr="00265C04" w:rsidRDefault="00674B35">
      <w:pPr>
        <w:contextualSpacing/>
        <w:rPr>
          <w:color w:val="000000" w:themeColor="text1"/>
          <w:sz w:val="22"/>
          <w:szCs w:val="22"/>
        </w:rPr>
      </w:pPr>
      <w:r w:rsidRPr="00AF5D69">
        <w:rPr>
          <w:b/>
          <w:color w:val="000000" w:themeColor="text1"/>
          <w:sz w:val="22"/>
          <w:szCs w:val="22"/>
          <w:u w:val="single"/>
        </w:rPr>
        <w:t>Topic:</w:t>
      </w:r>
      <w:r w:rsidRPr="00265C04">
        <w:rPr>
          <w:color w:val="000000" w:themeColor="text1"/>
          <w:sz w:val="22"/>
          <w:szCs w:val="22"/>
        </w:rPr>
        <w:t xml:space="preserve">   </w:t>
      </w:r>
      <w:r w:rsidR="004D6C3F">
        <w:rPr>
          <w:color w:val="000000" w:themeColor="text1"/>
          <w:sz w:val="22"/>
          <w:szCs w:val="22"/>
        </w:rPr>
        <w:t>PTO (Paid Time Off) policies</w:t>
      </w:r>
    </w:p>
    <w:p w14:paraId="686A54D5" w14:textId="77777777" w:rsidR="00674B35" w:rsidRPr="00265C04" w:rsidRDefault="00674B35">
      <w:pPr>
        <w:contextualSpacing/>
        <w:rPr>
          <w:sz w:val="22"/>
          <w:szCs w:val="22"/>
        </w:rPr>
      </w:pPr>
    </w:p>
    <w:p w14:paraId="52455847" w14:textId="48BB12C5" w:rsidR="00674B35" w:rsidRPr="00265C04" w:rsidRDefault="00AF5D69">
      <w:pPr>
        <w:contextualSpacing/>
        <w:rPr>
          <w:sz w:val="22"/>
          <w:szCs w:val="22"/>
        </w:rPr>
      </w:pPr>
      <w:r w:rsidRPr="00AF5D69">
        <w:rPr>
          <w:b/>
          <w:sz w:val="22"/>
          <w:szCs w:val="22"/>
          <w:u w:val="single"/>
        </w:rPr>
        <w:t xml:space="preserve">List Serve </w:t>
      </w:r>
      <w:r w:rsidR="00674B35" w:rsidRPr="00AF5D69">
        <w:rPr>
          <w:b/>
          <w:sz w:val="22"/>
          <w:szCs w:val="22"/>
          <w:u w:val="single"/>
        </w:rPr>
        <w:t>Question:</w:t>
      </w:r>
      <w:r w:rsidR="00674B35" w:rsidRPr="00265C04">
        <w:rPr>
          <w:sz w:val="22"/>
          <w:szCs w:val="22"/>
        </w:rPr>
        <w:t xml:space="preserve">  </w:t>
      </w:r>
      <w:r w:rsidR="001B5361" w:rsidRPr="00265C04">
        <w:rPr>
          <w:sz w:val="22"/>
          <w:szCs w:val="22"/>
        </w:rPr>
        <w:t xml:space="preserve">Do any of the Coalitions </w:t>
      </w:r>
      <w:r w:rsidR="004D6C3F">
        <w:rPr>
          <w:sz w:val="22"/>
          <w:szCs w:val="22"/>
        </w:rPr>
        <w:t>provide PTO instead of paid sick and paid vacation time? If so, what are the accrual policies and other relevant policies?</w:t>
      </w:r>
    </w:p>
    <w:p w14:paraId="22CE6274" w14:textId="77777777" w:rsidR="00674B35" w:rsidRDefault="00674B35">
      <w:pPr>
        <w:contextualSpacing/>
      </w:pPr>
    </w:p>
    <w:p w14:paraId="62A3B695" w14:textId="77777777" w:rsidR="00674B35" w:rsidRPr="0059355A" w:rsidRDefault="00674B35">
      <w:pPr>
        <w:rPr>
          <w:sz w:val="22"/>
          <w:szCs w:val="22"/>
        </w:rPr>
      </w:pPr>
    </w:p>
    <w:tbl>
      <w:tblPr>
        <w:tblStyle w:val="TableGrid"/>
        <w:tblW w:w="0" w:type="auto"/>
        <w:tblLook w:val="04A0" w:firstRow="1" w:lastRow="0" w:firstColumn="1" w:lastColumn="0" w:noHBand="0" w:noVBand="1"/>
      </w:tblPr>
      <w:tblGrid>
        <w:gridCol w:w="2165"/>
        <w:gridCol w:w="1147"/>
        <w:gridCol w:w="6038"/>
      </w:tblGrid>
      <w:tr w:rsidR="001B5361" w:rsidRPr="0059355A" w14:paraId="7ECD7E01" w14:textId="77777777" w:rsidTr="00B35278">
        <w:tc>
          <w:tcPr>
            <w:tcW w:w="2165" w:type="dxa"/>
            <w:shd w:val="clear" w:color="auto" w:fill="85B2F6" w:themeFill="background2" w:themeFillShade="E6"/>
          </w:tcPr>
          <w:p w14:paraId="3DA0660B" w14:textId="77777777" w:rsidR="001B5361" w:rsidRPr="0059355A" w:rsidRDefault="001B5361">
            <w:pPr>
              <w:rPr>
                <w:sz w:val="22"/>
                <w:szCs w:val="22"/>
              </w:rPr>
            </w:pPr>
            <w:r w:rsidRPr="0059355A">
              <w:rPr>
                <w:sz w:val="22"/>
                <w:szCs w:val="22"/>
              </w:rPr>
              <w:t xml:space="preserve">Coalition </w:t>
            </w:r>
          </w:p>
        </w:tc>
        <w:tc>
          <w:tcPr>
            <w:tcW w:w="1147" w:type="dxa"/>
            <w:shd w:val="clear" w:color="auto" w:fill="85B2F6" w:themeFill="background2" w:themeFillShade="E6"/>
          </w:tcPr>
          <w:p w14:paraId="3AFC99D8" w14:textId="77777777" w:rsidR="001B5361" w:rsidRDefault="001B5361">
            <w:pPr>
              <w:rPr>
                <w:sz w:val="22"/>
                <w:szCs w:val="22"/>
              </w:rPr>
            </w:pPr>
            <w:r w:rsidRPr="0059355A">
              <w:rPr>
                <w:sz w:val="22"/>
                <w:szCs w:val="22"/>
              </w:rPr>
              <w:t>Yes or No</w:t>
            </w:r>
          </w:p>
          <w:p w14:paraId="4D778DC2" w14:textId="7F8C870F" w:rsidR="004D6C3F" w:rsidRPr="0059355A" w:rsidRDefault="004D6C3F">
            <w:pPr>
              <w:rPr>
                <w:sz w:val="22"/>
                <w:szCs w:val="22"/>
              </w:rPr>
            </w:pPr>
            <w:r>
              <w:rPr>
                <w:sz w:val="22"/>
                <w:szCs w:val="22"/>
              </w:rPr>
              <w:t>PTO policy</w:t>
            </w:r>
          </w:p>
        </w:tc>
        <w:tc>
          <w:tcPr>
            <w:tcW w:w="6038" w:type="dxa"/>
            <w:shd w:val="clear" w:color="auto" w:fill="85B2F6" w:themeFill="background2" w:themeFillShade="E6"/>
          </w:tcPr>
          <w:p w14:paraId="7E863C8A" w14:textId="77777777" w:rsidR="001B5361" w:rsidRPr="0059355A" w:rsidRDefault="001B5361">
            <w:pPr>
              <w:rPr>
                <w:sz w:val="22"/>
                <w:szCs w:val="22"/>
              </w:rPr>
            </w:pPr>
            <w:r w:rsidRPr="0059355A">
              <w:rPr>
                <w:sz w:val="22"/>
                <w:szCs w:val="22"/>
              </w:rPr>
              <w:t>Additional details</w:t>
            </w:r>
          </w:p>
        </w:tc>
      </w:tr>
      <w:tr w:rsidR="00F25C85" w:rsidRPr="0059355A" w14:paraId="0B1D6BE2" w14:textId="77777777" w:rsidTr="00B35278">
        <w:tc>
          <w:tcPr>
            <w:tcW w:w="2165" w:type="dxa"/>
          </w:tcPr>
          <w:p w14:paraId="2C67E094" w14:textId="77294D69" w:rsidR="00F25C85" w:rsidRPr="0059355A" w:rsidRDefault="008F0E6C" w:rsidP="00F25C85">
            <w:pPr>
              <w:rPr>
                <w:sz w:val="22"/>
                <w:szCs w:val="22"/>
              </w:rPr>
            </w:pPr>
            <w:r>
              <w:rPr>
                <w:sz w:val="22"/>
                <w:szCs w:val="22"/>
              </w:rPr>
              <w:t>Alaska</w:t>
            </w:r>
          </w:p>
        </w:tc>
        <w:tc>
          <w:tcPr>
            <w:tcW w:w="1147" w:type="dxa"/>
          </w:tcPr>
          <w:p w14:paraId="281F5D1E" w14:textId="52930EB2" w:rsidR="00F25C85" w:rsidRPr="0059355A" w:rsidRDefault="008F0E6C" w:rsidP="00F25C85">
            <w:pPr>
              <w:rPr>
                <w:sz w:val="22"/>
                <w:szCs w:val="22"/>
              </w:rPr>
            </w:pPr>
            <w:r>
              <w:rPr>
                <w:sz w:val="22"/>
                <w:szCs w:val="22"/>
              </w:rPr>
              <w:t>Yes</w:t>
            </w:r>
          </w:p>
        </w:tc>
        <w:tc>
          <w:tcPr>
            <w:tcW w:w="6038" w:type="dxa"/>
          </w:tcPr>
          <w:p w14:paraId="2E884D85" w14:textId="77777777" w:rsidR="008F0E6C" w:rsidRPr="0064793F" w:rsidRDefault="008F0E6C" w:rsidP="008F0E6C">
            <w:pPr>
              <w:rPr>
                <w:rFonts w:ascii="Calibri" w:hAnsi="Calibri"/>
                <w:color w:val="000000" w:themeColor="text1"/>
              </w:rPr>
            </w:pPr>
            <w:r w:rsidRPr="0064793F">
              <w:rPr>
                <w:rFonts w:ascii="Calibri" w:hAnsi="Calibri"/>
                <w:color w:val="000000" w:themeColor="text1"/>
                <w:sz w:val="22"/>
                <w:szCs w:val="22"/>
              </w:rPr>
              <w:t>Year 1                    2 days per month</w:t>
            </w:r>
          </w:p>
          <w:p w14:paraId="3E12BEAF" w14:textId="77777777" w:rsidR="008F0E6C" w:rsidRPr="0064793F" w:rsidRDefault="008F0E6C" w:rsidP="008F0E6C">
            <w:pPr>
              <w:rPr>
                <w:rFonts w:ascii="Calibri" w:hAnsi="Calibri"/>
                <w:color w:val="000000" w:themeColor="text1"/>
              </w:rPr>
            </w:pPr>
            <w:r w:rsidRPr="0064793F">
              <w:rPr>
                <w:rFonts w:ascii="Calibri" w:hAnsi="Calibri"/>
                <w:color w:val="000000" w:themeColor="text1"/>
                <w:sz w:val="22"/>
                <w:szCs w:val="22"/>
              </w:rPr>
              <w:t>Year 2                    2.5 days per month</w:t>
            </w:r>
          </w:p>
          <w:p w14:paraId="18ED16E4" w14:textId="36938720" w:rsidR="008F0E6C" w:rsidRPr="0064793F" w:rsidRDefault="008F0E6C" w:rsidP="008F0E6C">
            <w:pPr>
              <w:rPr>
                <w:rFonts w:ascii="Calibri" w:hAnsi="Calibri"/>
                <w:color w:val="000000" w:themeColor="text1"/>
              </w:rPr>
            </w:pPr>
            <w:r w:rsidRPr="0064793F">
              <w:rPr>
                <w:rFonts w:ascii="Calibri" w:hAnsi="Calibri"/>
                <w:color w:val="000000" w:themeColor="text1"/>
                <w:sz w:val="22"/>
                <w:szCs w:val="22"/>
              </w:rPr>
              <w:t>Year 3                    3 days per month</w:t>
            </w:r>
          </w:p>
          <w:p w14:paraId="56440916" w14:textId="54B3A021" w:rsidR="00F25C85" w:rsidRPr="0064793F" w:rsidRDefault="008F0E6C" w:rsidP="00F25C85">
            <w:pPr>
              <w:rPr>
                <w:rFonts w:ascii="Calibri" w:hAnsi="Calibri"/>
                <w:color w:val="000000" w:themeColor="text1"/>
              </w:rPr>
            </w:pPr>
            <w:r w:rsidRPr="0064793F">
              <w:rPr>
                <w:rFonts w:ascii="Calibri" w:hAnsi="Calibri"/>
                <w:color w:val="000000" w:themeColor="text1"/>
                <w:sz w:val="22"/>
                <w:szCs w:val="22"/>
              </w:rPr>
              <w:t>We also provide different types of leave and offer 13 paid holidays per year. Leave is prorated for those who do not work full-time (37.5 hours per week).   Employees are eligible to cash out two weeks of leave per year, and can carry 240 hours of PTO into the new fiscal year.</w:t>
            </w:r>
          </w:p>
        </w:tc>
      </w:tr>
      <w:tr w:rsidR="008A789A" w:rsidRPr="0059355A" w14:paraId="4798F1F7" w14:textId="77777777" w:rsidTr="00B35278">
        <w:tc>
          <w:tcPr>
            <w:tcW w:w="2165" w:type="dxa"/>
          </w:tcPr>
          <w:p w14:paraId="564BFD97" w14:textId="62E2D789" w:rsidR="008A789A" w:rsidRDefault="008A789A" w:rsidP="00577ACA">
            <w:pPr>
              <w:rPr>
                <w:sz w:val="22"/>
                <w:szCs w:val="22"/>
              </w:rPr>
            </w:pPr>
            <w:r>
              <w:rPr>
                <w:sz w:val="22"/>
                <w:szCs w:val="22"/>
              </w:rPr>
              <w:t>American Samoa</w:t>
            </w:r>
          </w:p>
        </w:tc>
        <w:tc>
          <w:tcPr>
            <w:tcW w:w="1147" w:type="dxa"/>
          </w:tcPr>
          <w:p w14:paraId="3C4C6D10" w14:textId="5166780D" w:rsidR="008A789A" w:rsidRDefault="008A789A" w:rsidP="00577ACA">
            <w:pPr>
              <w:rPr>
                <w:sz w:val="22"/>
                <w:szCs w:val="22"/>
              </w:rPr>
            </w:pPr>
            <w:r>
              <w:rPr>
                <w:sz w:val="22"/>
                <w:szCs w:val="22"/>
              </w:rPr>
              <w:t>Yes</w:t>
            </w:r>
          </w:p>
        </w:tc>
        <w:tc>
          <w:tcPr>
            <w:tcW w:w="6038" w:type="dxa"/>
          </w:tcPr>
          <w:p w14:paraId="5B00C52B" w14:textId="77A2081D" w:rsidR="008A789A" w:rsidRPr="008A789A" w:rsidRDefault="008A789A" w:rsidP="00B86414">
            <w:pPr>
              <w:rPr>
                <w:rFonts w:ascii="Calibri" w:hAnsi="Calibri" w:cs="Calibri"/>
                <w:sz w:val="22"/>
                <w:szCs w:val="22"/>
              </w:rPr>
            </w:pPr>
            <w:r w:rsidRPr="008A789A">
              <w:rPr>
                <w:rFonts w:ascii="Calibri" w:hAnsi="Calibri" w:cs="Calibri"/>
                <w:color w:val="000000"/>
                <w:sz w:val="22"/>
                <w:szCs w:val="22"/>
              </w:rPr>
              <w:t>American Samoa has changed to PTO with hours accrued based on years of employment. Years 1-2 can accrue 4, 3-5 can accrue 6, 5+ can accrue up to 8 hours. They can carry over up to 80. This is along with 13 holidays. </w:t>
            </w:r>
          </w:p>
        </w:tc>
      </w:tr>
      <w:tr w:rsidR="00B86414" w:rsidRPr="0059355A" w14:paraId="467BA0F1" w14:textId="77777777" w:rsidTr="00B35278">
        <w:tc>
          <w:tcPr>
            <w:tcW w:w="2165" w:type="dxa"/>
          </w:tcPr>
          <w:p w14:paraId="33646630" w14:textId="1B96B260" w:rsidR="00B86414" w:rsidRDefault="00B86414" w:rsidP="00577ACA">
            <w:pPr>
              <w:rPr>
                <w:sz w:val="22"/>
                <w:szCs w:val="22"/>
              </w:rPr>
            </w:pPr>
            <w:r>
              <w:rPr>
                <w:sz w:val="22"/>
                <w:szCs w:val="22"/>
              </w:rPr>
              <w:t>Arizona</w:t>
            </w:r>
          </w:p>
        </w:tc>
        <w:tc>
          <w:tcPr>
            <w:tcW w:w="1147" w:type="dxa"/>
          </w:tcPr>
          <w:p w14:paraId="2DB10F76" w14:textId="7B3FA744" w:rsidR="00B86414" w:rsidRDefault="00B86414" w:rsidP="00577ACA">
            <w:pPr>
              <w:rPr>
                <w:sz w:val="22"/>
                <w:szCs w:val="22"/>
              </w:rPr>
            </w:pPr>
            <w:r>
              <w:rPr>
                <w:sz w:val="22"/>
                <w:szCs w:val="22"/>
              </w:rPr>
              <w:t>Yes</w:t>
            </w:r>
          </w:p>
        </w:tc>
        <w:tc>
          <w:tcPr>
            <w:tcW w:w="6038" w:type="dxa"/>
          </w:tcPr>
          <w:p w14:paraId="1147FFAE" w14:textId="0E99DA58" w:rsidR="00B86414" w:rsidRPr="0064793F" w:rsidRDefault="00B86414" w:rsidP="00B86414">
            <w:pPr>
              <w:rPr>
                <w:rFonts w:ascii="Calibri" w:hAnsi="Calibri"/>
                <w:color w:val="000000" w:themeColor="text1"/>
              </w:rPr>
            </w:pPr>
            <w:r w:rsidRPr="0064793F">
              <w:rPr>
                <w:rFonts w:ascii="Calibri" w:hAnsi="Calibri"/>
                <w:color w:val="000000" w:themeColor="text1"/>
                <w:sz w:val="22"/>
                <w:szCs w:val="22"/>
              </w:rPr>
              <w:t xml:space="preserve">The PTO accrued is on the scale below; </w:t>
            </w:r>
            <w:r w:rsidR="008D4D26" w:rsidRPr="0064793F">
              <w:rPr>
                <w:rFonts w:ascii="Calibri" w:hAnsi="Calibri"/>
                <w:color w:val="000000" w:themeColor="text1"/>
                <w:sz w:val="22"/>
                <w:szCs w:val="22"/>
              </w:rPr>
              <w:t xml:space="preserve">you can </w:t>
            </w:r>
            <w:r w:rsidRPr="0064793F">
              <w:rPr>
                <w:rFonts w:ascii="Calibri" w:hAnsi="Calibri"/>
                <w:color w:val="000000" w:themeColor="text1"/>
                <w:sz w:val="22"/>
                <w:szCs w:val="22"/>
              </w:rPr>
              <w:t>carry over 40 hours into the next year.  </w:t>
            </w:r>
          </w:p>
          <w:p w14:paraId="33A4D406" w14:textId="7D2F3102" w:rsidR="00B86414" w:rsidRPr="0064793F" w:rsidRDefault="00B86414" w:rsidP="00B86414">
            <w:pPr>
              <w:rPr>
                <w:rFonts w:ascii="Calibri" w:hAnsi="Calibri"/>
                <w:color w:val="000000" w:themeColor="text1"/>
                <w:u w:val="single"/>
              </w:rPr>
            </w:pPr>
            <w:r w:rsidRPr="0064793F">
              <w:rPr>
                <w:rFonts w:ascii="Calibri" w:hAnsi="Calibri"/>
                <w:color w:val="000000" w:themeColor="text1"/>
                <w:sz w:val="22"/>
                <w:szCs w:val="22"/>
                <w:u w:val="single"/>
              </w:rPr>
              <w:t xml:space="preserve">Length of Service   </w:t>
            </w:r>
            <w:r w:rsidR="008D4D26" w:rsidRPr="0064793F">
              <w:rPr>
                <w:rFonts w:ascii="Calibri" w:hAnsi="Calibri"/>
                <w:color w:val="000000" w:themeColor="text1"/>
                <w:sz w:val="22"/>
                <w:szCs w:val="22"/>
                <w:u w:val="single"/>
              </w:rPr>
              <w:t xml:space="preserve">          </w:t>
            </w:r>
            <w:r w:rsidRPr="0064793F">
              <w:rPr>
                <w:rFonts w:ascii="Calibri" w:hAnsi="Calibri"/>
                <w:color w:val="000000" w:themeColor="text1"/>
                <w:sz w:val="22"/>
                <w:szCs w:val="22"/>
                <w:u w:val="single"/>
              </w:rPr>
              <w:t> </w:t>
            </w:r>
            <w:proofErr w:type="spellStart"/>
            <w:r w:rsidRPr="0064793F">
              <w:rPr>
                <w:rFonts w:ascii="Calibri" w:hAnsi="Calibri"/>
                <w:color w:val="000000" w:themeColor="text1"/>
                <w:sz w:val="22"/>
                <w:szCs w:val="22"/>
                <w:u w:val="single"/>
              </w:rPr>
              <w:t>Hrs</w:t>
            </w:r>
            <w:proofErr w:type="spellEnd"/>
            <w:r w:rsidRPr="0064793F">
              <w:rPr>
                <w:rFonts w:ascii="Calibri" w:hAnsi="Calibri"/>
                <w:color w:val="000000" w:themeColor="text1"/>
                <w:sz w:val="22"/>
                <w:szCs w:val="22"/>
                <w:u w:val="single"/>
              </w:rPr>
              <w:t xml:space="preserve"> Per Year      Day</w:t>
            </w:r>
            <w:r w:rsidR="008D4D26" w:rsidRPr="0064793F">
              <w:rPr>
                <w:rFonts w:ascii="Calibri" w:hAnsi="Calibri"/>
                <w:color w:val="000000" w:themeColor="text1"/>
                <w:sz w:val="22"/>
                <w:szCs w:val="22"/>
                <w:u w:val="single"/>
              </w:rPr>
              <w:t>s</w:t>
            </w:r>
            <w:r w:rsidRPr="0064793F">
              <w:rPr>
                <w:rFonts w:ascii="Calibri" w:hAnsi="Calibri"/>
                <w:color w:val="000000" w:themeColor="text1"/>
                <w:sz w:val="22"/>
                <w:szCs w:val="22"/>
                <w:u w:val="single"/>
              </w:rPr>
              <w:t xml:space="preserve"> per Year Equivalent</w:t>
            </w:r>
          </w:p>
          <w:p w14:paraId="5566BDE0" w14:textId="6CD0849A" w:rsidR="00B86414" w:rsidRPr="0064793F" w:rsidRDefault="00B86414" w:rsidP="00B86414">
            <w:pPr>
              <w:rPr>
                <w:rFonts w:ascii="Calibri" w:hAnsi="Calibri"/>
                <w:color w:val="000000" w:themeColor="text1"/>
              </w:rPr>
            </w:pPr>
            <w:r w:rsidRPr="0064793F">
              <w:rPr>
                <w:rFonts w:ascii="Calibri" w:hAnsi="Calibri"/>
                <w:color w:val="000000" w:themeColor="text1"/>
                <w:sz w:val="22"/>
                <w:szCs w:val="22"/>
              </w:rPr>
              <w:t xml:space="preserve">0-3 </w:t>
            </w:r>
            <w:r w:rsidR="008D4D26" w:rsidRPr="0064793F">
              <w:rPr>
                <w:rFonts w:ascii="Calibri" w:hAnsi="Calibri"/>
                <w:color w:val="000000" w:themeColor="text1"/>
                <w:sz w:val="22"/>
                <w:szCs w:val="22"/>
              </w:rPr>
              <w:t>years</w:t>
            </w:r>
            <w:r w:rsidRPr="0064793F">
              <w:rPr>
                <w:rFonts w:ascii="Calibri" w:hAnsi="Calibri"/>
                <w:color w:val="000000" w:themeColor="text1"/>
                <w:sz w:val="22"/>
                <w:szCs w:val="22"/>
              </w:rPr>
              <w:t>                                         248                                                     31</w:t>
            </w:r>
          </w:p>
          <w:p w14:paraId="618F1017" w14:textId="034EF7CF" w:rsidR="00B86414" w:rsidRPr="0064793F" w:rsidRDefault="00B86414" w:rsidP="00B86414">
            <w:pPr>
              <w:rPr>
                <w:rFonts w:ascii="Calibri" w:hAnsi="Calibri"/>
                <w:color w:val="000000" w:themeColor="text1"/>
              </w:rPr>
            </w:pPr>
            <w:r w:rsidRPr="0064793F">
              <w:rPr>
                <w:rFonts w:ascii="Calibri" w:hAnsi="Calibri"/>
                <w:color w:val="000000" w:themeColor="text1"/>
                <w:sz w:val="22"/>
                <w:szCs w:val="22"/>
              </w:rPr>
              <w:t xml:space="preserve">3.1– 5 years                                      </w:t>
            </w:r>
            <w:r w:rsidR="008D4D26" w:rsidRPr="0064793F">
              <w:rPr>
                <w:rFonts w:ascii="Calibri" w:hAnsi="Calibri"/>
                <w:color w:val="000000" w:themeColor="text1"/>
                <w:sz w:val="22"/>
                <w:szCs w:val="22"/>
              </w:rPr>
              <w:t xml:space="preserve">   </w:t>
            </w:r>
            <w:r w:rsidRPr="0064793F">
              <w:rPr>
                <w:rFonts w:ascii="Calibri" w:hAnsi="Calibri"/>
                <w:color w:val="000000" w:themeColor="text1"/>
                <w:sz w:val="22"/>
                <w:szCs w:val="22"/>
              </w:rPr>
              <w:t>264                                                     33</w:t>
            </w:r>
          </w:p>
          <w:p w14:paraId="48693AC4" w14:textId="79628111" w:rsidR="00B86414" w:rsidRPr="0064793F" w:rsidRDefault="00B86414" w:rsidP="00B86414">
            <w:pPr>
              <w:rPr>
                <w:rFonts w:ascii="Calibri" w:hAnsi="Calibri"/>
                <w:color w:val="000000" w:themeColor="text1"/>
              </w:rPr>
            </w:pPr>
            <w:r w:rsidRPr="0064793F">
              <w:rPr>
                <w:rFonts w:ascii="Calibri" w:hAnsi="Calibri"/>
                <w:color w:val="000000" w:themeColor="text1"/>
                <w:sz w:val="22"/>
                <w:szCs w:val="22"/>
              </w:rPr>
              <w:t xml:space="preserve">5.1 – 10 years                                  </w:t>
            </w:r>
            <w:r w:rsidR="008D4D26" w:rsidRPr="0064793F">
              <w:rPr>
                <w:rFonts w:ascii="Calibri" w:hAnsi="Calibri"/>
                <w:color w:val="000000" w:themeColor="text1"/>
                <w:sz w:val="22"/>
                <w:szCs w:val="22"/>
              </w:rPr>
              <w:t xml:space="preserve">       </w:t>
            </w:r>
            <w:r w:rsidRPr="0064793F">
              <w:rPr>
                <w:rFonts w:ascii="Calibri" w:hAnsi="Calibri"/>
                <w:color w:val="000000" w:themeColor="text1"/>
                <w:sz w:val="22"/>
                <w:szCs w:val="22"/>
              </w:rPr>
              <w:t>280                                                     35</w:t>
            </w:r>
          </w:p>
          <w:p w14:paraId="7CAAFB67" w14:textId="34E07A42" w:rsidR="00B86414" w:rsidRPr="0064793F" w:rsidRDefault="00B86414" w:rsidP="00577ACA">
            <w:pPr>
              <w:rPr>
                <w:rFonts w:ascii="Calibri" w:hAnsi="Calibri"/>
                <w:color w:val="000000" w:themeColor="text1"/>
              </w:rPr>
            </w:pPr>
            <w:r w:rsidRPr="0064793F">
              <w:rPr>
                <w:rFonts w:ascii="Calibri" w:hAnsi="Calibri"/>
                <w:color w:val="000000" w:themeColor="text1"/>
                <w:sz w:val="22"/>
                <w:szCs w:val="22"/>
              </w:rPr>
              <w:t>10 + years                                         320                                                     140</w:t>
            </w:r>
          </w:p>
        </w:tc>
      </w:tr>
      <w:tr w:rsidR="005958A6" w:rsidRPr="0059355A" w14:paraId="28ACCC25" w14:textId="77777777" w:rsidTr="00B35278">
        <w:tc>
          <w:tcPr>
            <w:tcW w:w="2165" w:type="dxa"/>
          </w:tcPr>
          <w:p w14:paraId="2DB54F15" w14:textId="75D07322" w:rsidR="005958A6" w:rsidRDefault="005958A6" w:rsidP="00577ACA">
            <w:pPr>
              <w:rPr>
                <w:sz w:val="22"/>
                <w:szCs w:val="22"/>
              </w:rPr>
            </w:pPr>
            <w:r>
              <w:rPr>
                <w:sz w:val="22"/>
                <w:szCs w:val="22"/>
              </w:rPr>
              <w:t>Connecticut</w:t>
            </w:r>
          </w:p>
        </w:tc>
        <w:tc>
          <w:tcPr>
            <w:tcW w:w="1147" w:type="dxa"/>
          </w:tcPr>
          <w:p w14:paraId="1FA79D31" w14:textId="19288075" w:rsidR="005958A6" w:rsidRDefault="005958A6" w:rsidP="00577ACA">
            <w:pPr>
              <w:rPr>
                <w:sz w:val="22"/>
                <w:szCs w:val="22"/>
              </w:rPr>
            </w:pPr>
            <w:r>
              <w:rPr>
                <w:sz w:val="22"/>
                <w:szCs w:val="22"/>
              </w:rPr>
              <w:t>Yes</w:t>
            </w:r>
          </w:p>
        </w:tc>
        <w:tc>
          <w:tcPr>
            <w:tcW w:w="6038" w:type="dxa"/>
          </w:tcPr>
          <w:p w14:paraId="7C461BFE" w14:textId="2AA5FB9C" w:rsidR="005958A6" w:rsidRPr="005958A6" w:rsidRDefault="005958A6" w:rsidP="0064793F">
            <w:pPr>
              <w:rPr>
                <w:color w:val="000000" w:themeColor="text1"/>
                <w:sz w:val="22"/>
                <w:szCs w:val="22"/>
              </w:rPr>
            </w:pPr>
            <w:r w:rsidRPr="005958A6">
              <w:rPr>
                <w:rFonts w:ascii="Calibri" w:hAnsi="Calibri"/>
                <w:color w:val="000000" w:themeColor="text1"/>
                <w:sz w:val="22"/>
                <w:szCs w:val="22"/>
              </w:rPr>
              <w:t>36 PTO days per year</w:t>
            </w:r>
            <w:r w:rsidRPr="005958A6">
              <w:rPr>
                <w:rFonts w:ascii="Calibri" w:hAnsi="Calibri"/>
                <w:color w:val="000000" w:themeColor="text1"/>
                <w:sz w:val="22"/>
                <w:szCs w:val="22"/>
              </w:rPr>
              <w:br/>
              <w:t>11.08 per pay period which is almost 3 days per month.</w:t>
            </w:r>
          </w:p>
        </w:tc>
      </w:tr>
      <w:tr w:rsidR="0064793F" w:rsidRPr="0059355A" w14:paraId="47E0EF16" w14:textId="77777777" w:rsidTr="00B35278">
        <w:tc>
          <w:tcPr>
            <w:tcW w:w="2165" w:type="dxa"/>
          </w:tcPr>
          <w:p w14:paraId="03C668F7" w14:textId="5464AECD" w:rsidR="0064793F" w:rsidRDefault="0064793F" w:rsidP="00577ACA">
            <w:pPr>
              <w:rPr>
                <w:sz w:val="22"/>
                <w:szCs w:val="22"/>
              </w:rPr>
            </w:pPr>
            <w:r>
              <w:rPr>
                <w:sz w:val="22"/>
                <w:szCs w:val="22"/>
              </w:rPr>
              <w:t>Delaware</w:t>
            </w:r>
          </w:p>
        </w:tc>
        <w:tc>
          <w:tcPr>
            <w:tcW w:w="1147" w:type="dxa"/>
          </w:tcPr>
          <w:p w14:paraId="6DB590A9" w14:textId="50CC00AF" w:rsidR="0064793F" w:rsidRDefault="0064793F" w:rsidP="00577ACA">
            <w:pPr>
              <w:rPr>
                <w:sz w:val="22"/>
                <w:szCs w:val="22"/>
              </w:rPr>
            </w:pPr>
            <w:r>
              <w:rPr>
                <w:sz w:val="22"/>
                <w:szCs w:val="22"/>
              </w:rPr>
              <w:t>Yes</w:t>
            </w:r>
          </w:p>
        </w:tc>
        <w:tc>
          <w:tcPr>
            <w:tcW w:w="6038" w:type="dxa"/>
          </w:tcPr>
          <w:p w14:paraId="32F9D763" w14:textId="4F47715E" w:rsidR="0064793F" w:rsidRDefault="0064793F" w:rsidP="0064793F">
            <w:pPr>
              <w:rPr>
                <w:rFonts w:ascii="Calibri" w:hAnsi="Calibri"/>
                <w:color w:val="000000"/>
                <w:sz w:val="22"/>
                <w:szCs w:val="22"/>
              </w:rPr>
            </w:pPr>
            <w:r>
              <w:rPr>
                <w:rFonts w:ascii="Calibri" w:hAnsi="Calibri"/>
                <w:color w:val="000000"/>
                <w:sz w:val="22"/>
                <w:szCs w:val="22"/>
              </w:rPr>
              <w:t>DCADV has PTO and Vacation leave.</w:t>
            </w:r>
          </w:p>
          <w:p w14:paraId="7269BA65" w14:textId="1804CA64" w:rsidR="0064793F" w:rsidRDefault="0064793F" w:rsidP="0064793F">
            <w:pPr>
              <w:rPr>
                <w:rFonts w:ascii="Calibri" w:hAnsi="Calibri"/>
                <w:color w:val="000000"/>
                <w:sz w:val="22"/>
                <w:szCs w:val="22"/>
              </w:rPr>
            </w:pPr>
            <w:r w:rsidRPr="004151EA">
              <w:rPr>
                <w:rFonts w:ascii="Calibri" w:hAnsi="Calibri"/>
                <w:b/>
                <w:color w:val="000000"/>
                <w:sz w:val="22"/>
                <w:szCs w:val="22"/>
                <w:u w:val="single"/>
              </w:rPr>
              <w:t>PTO</w:t>
            </w:r>
            <w:r>
              <w:rPr>
                <w:rFonts w:ascii="Calibri" w:hAnsi="Calibri"/>
                <w:color w:val="000000"/>
                <w:sz w:val="22"/>
                <w:szCs w:val="22"/>
              </w:rPr>
              <w:t xml:space="preserve"> – for illness or personal business; full-time staff accrue 1 PTO day per month from date of hire; Part-time accrue a pro-rata amount.  New employees eligible to use accrued time after 60-days.  PTO can be used in increments of one hour.  Unused PTO is carried forward each calendar year, but unused PTO is not transferred to a monetary equivalent when leaving the agency.</w:t>
            </w:r>
          </w:p>
          <w:p w14:paraId="697BA7CA" w14:textId="0AD51B06" w:rsidR="0064793F" w:rsidRPr="004151EA" w:rsidRDefault="0064793F" w:rsidP="00577ACA">
            <w:pPr>
              <w:rPr>
                <w:rFonts w:ascii="Calibri" w:hAnsi="Calibri"/>
                <w:color w:val="000000"/>
                <w:sz w:val="22"/>
                <w:szCs w:val="22"/>
              </w:rPr>
            </w:pPr>
            <w:r w:rsidRPr="004151EA">
              <w:rPr>
                <w:rFonts w:ascii="Calibri" w:hAnsi="Calibri"/>
                <w:b/>
                <w:color w:val="000000"/>
                <w:sz w:val="22"/>
                <w:szCs w:val="22"/>
                <w:u w:val="single"/>
              </w:rPr>
              <w:lastRenderedPageBreak/>
              <w:t>Vacation</w:t>
            </w:r>
            <w:r>
              <w:rPr>
                <w:rFonts w:ascii="Calibri" w:hAnsi="Calibri"/>
                <w:color w:val="000000"/>
                <w:sz w:val="22"/>
                <w:szCs w:val="22"/>
              </w:rPr>
              <w:t xml:space="preserve"> – first year: 2 weeks; 1 to 4 years 3 weeks, 4 to 10 years 4 weeks, more than 10 years 5 weeks.  Employees accrue from date of hire.  New employees eligible to take accrued vacation after 90-days.</w:t>
            </w:r>
          </w:p>
        </w:tc>
      </w:tr>
      <w:tr w:rsidR="00B47784" w:rsidRPr="0059355A" w14:paraId="0C06E055" w14:textId="77777777" w:rsidTr="00B35278">
        <w:tc>
          <w:tcPr>
            <w:tcW w:w="2165" w:type="dxa"/>
          </w:tcPr>
          <w:p w14:paraId="7494C43C" w14:textId="7B06BD0D" w:rsidR="00B47784" w:rsidRDefault="00B47784" w:rsidP="00577ACA">
            <w:pPr>
              <w:rPr>
                <w:sz w:val="22"/>
                <w:szCs w:val="22"/>
              </w:rPr>
            </w:pPr>
            <w:r>
              <w:rPr>
                <w:sz w:val="22"/>
                <w:szCs w:val="22"/>
              </w:rPr>
              <w:lastRenderedPageBreak/>
              <w:t>Georgia</w:t>
            </w:r>
          </w:p>
        </w:tc>
        <w:tc>
          <w:tcPr>
            <w:tcW w:w="1147" w:type="dxa"/>
          </w:tcPr>
          <w:p w14:paraId="0A393261" w14:textId="39ABC3E2" w:rsidR="00B47784" w:rsidRDefault="00B47784" w:rsidP="00577ACA">
            <w:pPr>
              <w:rPr>
                <w:sz w:val="22"/>
                <w:szCs w:val="22"/>
              </w:rPr>
            </w:pPr>
            <w:r>
              <w:rPr>
                <w:sz w:val="22"/>
                <w:szCs w:val="22"/>
              </w:rPr>
              <w:t>No</w:t>
            </w:r>
          </w:p>
        </w:tc>
        <w:tc>
          <w:tcPr>
            <w:tcW w:w="6038" w:type="dxa"/>
          </w:tcPr>
          <w:p w14:paraId="4F4E5B06" w14:textId="77777777" w:rsidR="00B47784" w:rsidRPr="0059355A" w:rsidRDefault="00B47784" w:rsidP="00577ACA">
            <w:pPr>
              <w:rPr>
                <w:sz w:val="22"/>
                <w:szCs w:val="22"/>
              </w:rPr>
            </w:pPr>
          </w:p>
        </w:tc>
      </w:tr>
      <w:tr w:rsidR="008A789A" w:rsidRPr="0059355A" w14:paraId="6A247131" w14:textId="77777777" w:rsidTr="00B35278">
        <w:tc>
          <w:tcPr>
            <w:tcW w:w="2165" w:type="dxa"/>
          </w:tcPr>
          <w:p w14:paraId="0377DEE6" w14:textId="1EE99278" w:rsidR="008A789A" w:rsidRDefault="008A789A" w:rsidP="00577ACA">
            <w:pPr>
              <w:rPr>
                <w:sz w:val="22"/>
                <w:szCs w:val="22"/>
              </w:rPr>
            </w:pPr>
            <w:r>
              <w:rPr>
                <w:sz w:val="22"/>
                <w:szCs w:val="22"/>
              </w:rPr>
              <w:t>Guam</w:t>
            </w:r>
          </w:p>
        </w:tc>
        <w:tc>
          <w:tcPr>
            <w:tcW w:w="1147" w:type="dxa"/>
          </w:tcPr>
          <w:p w14:paraId="28AEE0C4" w14:textId="09ADDDDB" w:rsidR="008A789A" w:rsidRDefault="008A789A" w:rsidP="00577ACA">
            <w:pPr>
              <w:rPr>
                <w:sz w:val="22"/>
                <w:szCs w:val="22"/>
              </w:rPr>
            </w:pPr>
            <w:r>
              <w:rPr>
                <w:sz w:val="22"/>
                <w:szCs w:val="22"/>
              </w:rPr>
              <w:t>Yes</w:t>
            </w:r>
          </w:p>
        </w:tc>
        <w:tc>
          <w:tcPr>
            <w:tcW w:w="6038" w:type="dxa"/>
          </w:tcPr>
          <w:p w14:paraId="57F1966B" w14:textId="222F4535" w:rsidR="008A789A" w:rsidRPr="008A789A" w:rsidRDefault="008A789A" w:rsidP="00577ACA">
            <w:pPr>
              <w:rPr>
                <w:rFonts w:ascii="Calibri" w:hAnsi="Calibri" w:cs="Calibri"/>
                <w:sz w:val="22"/>
                <w:szCs w:val="22"/>
              </w:rPr>
            </w:pPr>
            <w:r w:rsidRPr="008A789A">
              <w:rPr>
                <w:rFonts w:ascii="Calibri" w:hAnsi="Calibri" w:cs="Calibri"/>
                <w:color w:val="000000"/>
                <w:sz w:val="22"/>
                <w:szCs w:val="22"/>
              </w:rPr>
              <w:t xml:space="preserve">Staff accrue five </w:t>
            </w:r>
            <w:r w:rsidRPr="008A789A">
              <w:rPr>
                <w:rFonts w:ascii="Calibri" w:hAnsi="Calibri" w:cs="Calibri"/>
                <w:color w:val="000000"/>
                <w:sz w:val="22"/>
                <w:szCs w:val="22"/>
              </w:rPr>
              <w:t>h</w:t>
            </w:r>
            <w:r w:rsidRPr="008A789A">
              <w:rPr>
                <w:rFonts w:ascii="Calibri" w:hAnsi="Calibri" w:cs="Calibri"/>
                <w:color w:val="000000"/>
                <w:sz w:val="22"/>
                <w:szCs w:val="22"/>
              </w:rPr>
              <w:t xml:space="preserve">ours every two-week pay period (120 </w:t>
            </w:r>
            <w:proofErr w:type="spellStart"/>
            <w:r w:rsidRPr="008A789A">
              <w:rPr>
                <w:rFonts w:ascii="Calibri" w:hAnsi="Calibri" w:cs="Calibri"/>
                <w:color w:val="000000"/>
                <w:sz w:val="22"/>
                <w:szCs w:val="22"/>
              </w:rPr>
              <w:t>hrs</w:t>
            </w:r>
            <w:proofErr w:type="spellEnd"/>
            <w:r w:rsidRPr="008A789A">
              <w:rPr>
                <w:rFonts w:ascii="Calibri" w:hAnsi="Calibri" w:cs="Calibri"/>
                <w:color w:val="000000"/>
                <w:sz w:val="22"/>
                <w:szCs w:val="22"/>
              </w:rPr>
              <w:t>). If staff have been employed full-time with the Coalition for at least five years, staff accrues 6.6 hours per pay period (158 hours).</w:t>
            </w:r>
          </w:p>
        </w:tc>
      </w:tr>
      <w:tr w:rsidR="001A66CD" w:rsidRPr="0059355A" w14:paraId="1B56E0EC" w14:textId="77777777" w:rsidTr="00B35278">
        <w:tc>
          <w:tcPr>
            <w:tcW w:w="2165" w:type="dxa"/>
          </w:tcPr>
          <w:p w14:paraId="0BB9C52A" w14:textId="759E5322" w:rsidR="001A66CD" w:rsidRDefault="001A66CD" w:rsidP="00577ACA">
            <w:pPr>
              <w:rPr>
                <w:sz w:val="22"/>
                <w:szCs w:val="22"/>
              </w:rPr>
            </w:pPr>
            <w:r>
              <w:rPr>
                <w:sz w:val="22"/>
                <w:szCs w:val="22"/>
              </w:rPr>
              <w:t>Illinois</w:t>
            </w:r>
          </w:p>
        </w:tc>
        <w:tc>
          <w:tcPr>
            <w:tcW w:w="1147" w:type="dxa"/>
          </w:tcPr>
          <w:p w14:paraId="70CD95A6" w14:textId="47DB535A" w:rsidR="001A66CD" w:rsidRDefault="001A66CD" w:rsidP="00577ACA">
            <w:pPr>
              <w:rPr>
                <w:sz w:val="22"/>
                <w:szCs w:val="22"/>
              </w:rPr>
            </w:pPr>
            <w:r>
              <w:rPr>
                <w:sz w:val="22"/>
                <w:szCs w:val="22"/>
              </w:rPr>
              <w:t>No</w:t>
            </w:r>
          </w:p>
        </w:tc>
        <w:tc>
          <w:tcPr>
            <w:tcW w:w="6038" w:type="dxa"/>
          </w:tcPr>
          <w:p w14:paraId="19F306C1" w14:textId="77777777" w:rsidR="001A66CD" w:rsidRPr="0059355A" w:rsidRDefault="001A66CD" w:rsidP="00577ACA">
            <w:pPr>
              <w:rPr>
                <w:sz w:val="22"/>
                <w:szCs w:val="22"/>
              </w:rPr>
            </w:pPr>
          </w:p>
        </w:tc>
      </w:tr>
      <w:tr w:rsidR="0063087A" w:rsidRPr="0059355A" w14:paraId="02339445" w14:textId="77777777" w:rsidTr="00B35278">
        <w:tc>
          <w:tcPr>
            <w:tcW w:w="2165" w:type="dxa"/>
          </w:tcPr>
          <w:p w14:paraId="7B78AF78" w14:textId="537321CF" w:rsidR="0063087A" w:rsidRDefault="0063087A" w:rsidP="00577ACA">
            <w:pPr>
              <w:rPr>
                <w:sz w:val="22"/>
                <w:szCs w:val="22"/>
              </w:rPr>
            </w:pPr>
            <w:r>
              <w:rPr>
                <w:sz w:val="22"/>
                <w:szCs w:val="22"/>
              </w:rPr>
              <w:t>Indiana</w:t>
            </w:r>
          </w:p>
        </w:tc>
        <w:tc>
          <w:tcPr>
            <w:tcW w:w="1147" w:type="dxa"/>
          </w:tcPr>
          <w:p w14:paraId="5FF098D6" w14:textId="6AE63BF5" w:rsidR="0063087A" w:rsidRDefault="0063087A" w:rsidP="00577ACA">
            <w:pPr>
              <w:rPr>
                <w:sz w:val="22"/>
                <w:szCs w:val="22"/>
              </w:rPr>
            </w:pPr>
            <w:r>
              <w:rPr>
                <w:sz w:val="22"/>
                <w:szCs w:val="22"/>
              </w:rPr>
              <w:t>Yes</w:t>
            </w:r>
          </w:p>
        </w:tc>
        <w:tc>
          <w:tcPr>
            <w:tcW w:w="6038" w:type="dxa"/>
          </w:tcPr>
          <w:p w14:paraId="2C242887" w14:textId="62879A6F" w:rsidR="0063087A" w:rsidRPr="0063087A" w:rsidRDefault="0063087A" w:rsidP="0063087A">
            <w:pPr>
              <w:pStyle w:val="NormalWeb"/>
              <w:spacing w:before="0" w:beforeAutospacing="0" w:after="0" w:afterAutospacing="0"/>
              <w:rPr>
                <w:rFonts w:asciiTheme="minorHAnsi" w:hAnsiTheme="minorHAnsi"/>
                <w:color w:val="000000"/>
                <w:sz w:val="22"/>
                <w:szCs w:val="22"/>
              </w:rPr>
            </w:pPr>
            <w:r w:rsidRPr="0063087A">
              <w:rPr>
                <w:rFonts w:asciiTheme="minorHAnsi" w:hAnsiTheme="minorHAnsi"/>
                <w:color w:val="000000"/>
                <w:sz w:val="22"/>
                <w:szCs w:val="22"/>
              </w:rPr>
              <w:t>Indiana has one category of PTO</w:t>
            </w:r>
            <w:r w:rsidR="001C660B">
              <w:rPr>
                <w:rFonts w:asciiTheme="minorHAnsi" w:hAnsiTheme="minorHAnsi"/>
                <w:color w:val="000000"/>
                <w:sz w:val="22"/>
                <w:szCs w:val="22"/>
              </w:rPr>
              <w:t>; t</w:t>
            </w:r>
            <w:r w:rsidRPr="0063087A">
              <w:rPr>
                <w:rFonts w:asciiTheme="minorHAnsi" w:hAnsiTheme="minorHAnsi"/>
                <w:color w:val="000000"/>
                <w:sz w:val="22"/>
                <w:szCs w:val="22"/>
              </w:rPr>
              <w:t xml:space="preserve">he number of hours an employee receives is based upon years of service.  For example, 1-4 years gets 150 hours of leave annually, based upon </w:t>
            </w:r>
            <w:proofErr w:type="gramStart"/>
            <w:r w:rsidRPr="0063087A">
              <w:rPr>
                <w:rFonts w:asciiTheme="minorHAnsi" w:hAnsiTheme="minorHAnsi"/>
                <w:color w:val="000000"/>
                <w:sz w:val="22"/>
                <w:szCs w:val="22"/>
              </w:rPr>
              <w:t>37.5 hour</w:t>
            </w:r>
            <w:proofErr w:type="gramEnd"/>
            <w:r w:rsidRPr="0063087A">
              <w:rPr>
                <w:rFonts w:asciiTheme="minorHAnsi" w:hAnsiTheme="minorHAnsi"/>
                <w:color w:val="000000"/>
                <w:sz w:val="22"/>
                <w:szCs w:val="22"/>
              </w:rPr>
              <w:t xml:space="preserve"> work week.  An employee can rollover 75 hours (2 weeks) of leave to the next year.  If there is a balance greater than the 75 hours, then it becomes "sick leave" that they can accumulate for use if they are sick, sabbatical or to donate to other employees if they need sick leave. </w:t>
            </w:r>
          </w:p>
        </w:tc>
      </w:tr>
      <w:tr w:rsidR="004D6C3F" w:rsidRPr="0059355A" w14:paraId="54A87A42" w14:textId="77777777" w:rsidTr="00B35278">
        <w:tc>
          <w:tcPr>
            <w:tcW w:w="2165" w:type="dxa"/>
          </w:tcPr>
          <w:p w14:paraId="11B10936" w14:textId="5DF9431B" w:rsidR="004D6C3F" w:rsidRPr="0059355A" w:rsidRDefault="008F0E6C" w:rsidP="00577ACA">
            <w:pPr>
              <w:rPr>
                <w:sz w:val="22"/>
                <w:szCs w:val="22"/>
              </w:rPr>
            </w:pPr>
            <w:r>
              <w:rPr>
                <w:sz w:val="22"/>
                <w:szCs w:val="22"/>
              </w:rPr>
              <w:t xml:space="preserve">Iowa </w:t>
            </w:r>
          </w:p>
        </w:tc>
        <w:tc>
          <w:tcPr>
            <w:tcW w:w="1147" w:type="dxa"/>
          </w:tcPr>
          <w:p w14:paraId="4FBB2705" w14:textId="41535CDF" w:rsidR="004D6C3F" w:rsidRPr="0059355A" w:rsidRDefault="008F0E6C" w:rsidP="00577ACA">
            <w:pPr>
              <w:rPr>
                <w:sz w:val="22"/>
                <w:szCs w:val="22"/>
              </w:rPr>
            </w:pPr>
            <w:r>
              <w:rPr>
                <w:sz w:val="22"/>
                <w:szCs w:val="22"/>
              </w:rPr>
              <w:t>No</w:t>
            </w:r>
          </w:p>
        </w:tc>
        <w:tc>
          <w:tcPr>
            <w:tcW w:w="6038" w:type="dxa"/>
          </w:tcPr>
          <w:p w14:paraId="59D4D2D1" w14:textId="77777777" w:rsidR="004D6C3F" w:rsidRPr="0059355A" w:rsidRDefault="004D6C3F" w:rsidP="00577ACA">
            <w:pPr>
              <w:rPr>
                <w:sz w:val="22"/>
                <w:szCs w:val="22"/>
              </w:rPr>
            </w:pPr>
          </w:p>
        </w:tc>
      </w:tr>
      <w:tr w:rsidR="008F0E6C" w:rsidRPr="0059355A" w14:paraId="1EA406FA" w14:textId="77777777" w:rsidTr="00B35278">
        <w:tc>
          <w:tcPr>
            <w:tcW w:w="2165" w:type="dxa"/>
          </w:tcPr>
          <w:p w14:paraId="3AC2DE39" w14:textId="16CFC646" w:rsidR="008F0E6C" w:rsidRDefault="008F0E6C" w:rsidP="00577ACA">
            <w:pPr>
              <w:rPr>
                <w:sz w:val="22"/>
                <w:szCs w:val="22"/>
              </w:rPr>
            </w:pPr>
            <w:r>
              <w:rPr>
                <w:sz w:val="22"/>
                <w:szCs w:val="22"/>
              </w:rPr>
              <w:t>Kansas</w:t>
            </w:r>
          </w:p>
        </w:tc>
        <w:tc>
          <w:tcPr>
            <w:tcW w:w="1147" w:type="dxa"/>
          </w:tcPr>
          <w:p w14:paraId="60D3F5DD" w14:textId="6D656C6E" w:rsidR="008F0E6C" w:rsidRDefault="008F0E6C" w:rsidP="00577ACA">
            <w:pPr>
              <w:rPr>
                <w:sz w:val="22"/>
                <w:szCs w:val="22"/>
              </w:rPr>
            </w:pPr>
            <w:r>
              <w:rPr>
                <w:sz w:val="22"/>
                <w:szCs w:val="22"/>
              </w:rPr>
              <w:t>No</w:t>
            </w:r>
          </w:p>
        </w:tc>
        <w:tc>
          <w:tcPr>
            <w:tcW w:w="6038" w:type="dxa"/>
          </w:tcPr>
          <w:p w14:paraId="3E8C123A" w14:textId="77777777" w:rsidR="008F0E6C" w:rsidRPr="008F0E6C" w:rsidRDefault="008F0E6C" w:rsidP="00577ACA">
            <w:pPr>
              <w:rPr>
                <w:rFonts w:ascii="Calibri" w:hAnsi="Calibri"/>
                <w:color w:val="1F497D"/>
                <w:sz w:val="22"/>
                <w:szCs w:val="22"/>
              </w:rPr>
            </w:pPr>
          </w:p>
        </w:tc>
      </w:tr>
      <w:tr w:rsidR="0063087A" w:rsidRPr="0059355A" w14:paraId="713DE20B" w14:textId="77777777" w:rsidTr="00B35278">
        <w:tc>
          <w:tcPr>
            <w:tcW w:w="2165" w:type="dxa"/>
          </w:tcPr>
          <w:p w14:paraId="310FECDE" w14:textId="044713A6" w:rsidR="0063087A" w:rsidRDefault="0063087A" w:rsidP="00577ACA">
            <w:pPr>
              <w:rPr>
                <w:sz w:val="22"/>
                <w:szCs w:val="22"/>
              </w:rPr>
            </w:pPr>
            <w:r>
              <w:rPr>
                <w:sz w:val="22"/>
                <w:szCs w:val="22"/>
              </w:rPr>
              <w:t>Kentucky</w:t>
            </w:r>
          </w:p>
        </w:tc>
        <w:tc>
          <w:tcPr>
            <w:tcW w:w="1147" w:type="dxa"/>
          </w:tcPr>
          <w:p w14:paraId="4AFED23F" w14:textId="0F60C659" w:rsidR="0063087A" w:rsidRDefault="0063087A" w:rsidP="00577ACA">
            <w:pPr>
              <w:rPr>
                <w:sz w:val="22"/>
                <w:szCs w:val="22"/>
              </w:rPr>
            </w:pPr>
            <w:r>
              <w:rPr>
                <w:sz w:val="22"/>
                <w:szCs w:val="22"/>
              </w:rPr>
              <w:t>No</w:t>
            </w:r>
          </w:p>
        </w:tc>
        <w:tc>
          <w:tcPr>
            <w:tcW w:w="6038" w:type="dxa"/>
          </w:tcPr>
          <w:p w14:paraId="2CD48D4F" w14:textId="77777777" w:rsidR="0063087A" w:rsidRPr="008F0E6C" w:rsidRDefault="0063087A" w:rsidP="00577ACA">
            <w:pPr>
              <w:rPr>
                <w:rFonts w:ascii="Calibri" w:hAnsi="Calibri"/>
                <w:color w:val="1F497D"/>
                <w:sz w:val="22"/>
                <w:szCs w:val="22"/>
              </w:rPr>
            </w:pPr>
          </w:p>
        </w:tc>
      </w:tr>
      <w:tr w:rsidR="00E5393F" w:rsidRPr="0059355A" w14:paraId="26D3D25A" w14:textId="77777777" w:rsidTr="00B35278">
        <w:tc>
          <w:tcPr>
            <w:tcW w:w="2165" w:type="dxa"/>
          </w:tcPr>
          <w:p w14:paraId="1E0A7318" w14:textId="256FB684" w:rsidR="00E5393F" w:rsidRDefault="0063087A" w:rsidP="00577ACA">
            <w:pPr>
              <w:rPr>
                <w:sz w:val="22"/>
                <w:szCs w:val="22"/>
              </w:rPr>
            </w:pPr>
            <w:r>
              <w:rPr>
                <w:sz w:val="22"/>
                <w:szCs w:val="22"/>
              </w:rPr>
              <w:t>Maine</w:t>
            </w:r>
          </w:p>
        </w:tc>
        <w:tc>
          <w:tcPr>
            <w:tcW w:w="1147" w:type="dxa"/>
          </w:tcPr>
          <w:p w14:paraId="11EE2F25" w14:textId="739B5BF6" w:rsidR="00E5393F" w:rsidRDefault="0063087A" w:rsidP="00577ACA">
            <w:pPr>
              <w:rPr>
                <w:sz w:val="22"/>
                <w:szCs w:val="22"/>
              </w:rPr>
            </w:pPr>
            <w:r>
              <w:rPr>
                <w:sz w:val="22"/>
                <w:szCs w:val="22"/>
              </w:rPr>
              <w:t>No</w:t>
            </w:r>
          </w:p>
        </w:tc>
        <w:tc>
          <w:tcPr>
            <w:tcW w:w="6038" w:type="dxa"/>
          </w:tcPr>
          <w:p w14:paraId="79936698" w14:textId="77777777" w:rsidR="00E5393F" w:rsidRPr="008F0E6C" w:rsidRDefault="00E5393F" w:rsidP="00577ACA">
            <w:pPr>
              <w:rPr>
                <w:rFonts w:ascii="Calibri" w:hAnsi="Calibri"/>
                <w:color w:val="1F497D"/>
                <w:sz w:val="22"/>
                <w:szCs w:val="22"/>
              </w:rPr>
            </w:pPr>
          </w:p>
        </w:tc>
      </w:tr>
      <w:tr w:rsidR="0063087A" w:rsidRPr="0059355A" w14:paraId="569535B5" w14:textId="77777777" w:rsidTr="00B35278">
        <w:tc>
          <w:tcPr>
            <w:tcW w:w="2165" w:type="dxa"/>
          </w:tcPr>
          <w:p w14:paraId="6EE5EE41" w14:textId="0E62174C" w:rsidR="0063087A" w:rsidRDefault="0063087A" w:rsidP="00577ACA">
            <w:pPr>
              <w:rPr>
                <w:sz w:val="22"/>
                <w:szCs w:val="22"/>
              </w:rPr>
            </w:pPr>
            <w:r>
              <w:rPr>
                <w:sz w:val="22"/>
                <w:szCs w:val="22"/>
              </w:rPr>
              <w:t>Massachusetts</w:t>
            </w:r>
          </w:p>
        </w:tc>
        <w:tc>
          <w:tcPr>
            <w:tcW w:w="1147" w:type="dxa"/>
          </w:tcPr>
          <w:p w14:paraId="05F2200A" w14:textId="6478F054" w:rsidR="0063087A" w:rsidRDefault="0063087A" w:rsidP="00577ACA">
            <w:pPr>
              <w:rPr>
                <w:sz w:val="22"/>
                <w:szCs w:val="22"/>
              </w:rPr>
            </w:pPr>
            <w:r>
              <w:rPr>
                <w:sz w:val="22"/>
                <w:szCs w:val="22"/>
              </w:rPr>
              <w:t>No</w:t>
            </w:r>
          </w:p>
        </w:tc>
        <w:tc>
          <w:tcPr>
            <w:tcW w:w="6038" w:type="dxa"/>
          </w:tcPr>
          <w:p w14:paraId="34C3CCD1" w14:textId="77777777" w:rsidR="0063087A" w:rsidRPr="008F0E6C" w:rsidRDefault="0063087A" w:rsidP="00577ACA">
            <w:pPr>
              <w:rPr>
                <w:rFonts w:ascii="Calibri" w:hAnsi="Calibri"/>
                <w:color w:val="1F497D"/>
                <w:sz w:val="22"/>
                <w:szCs w:val="22"/>
              </w:rPr>
            </w:pPr>
          </w:p>
        </w:tc>
      </w:tr>
      <w:tr w:rsidR="008F0E6C" w:rsidRPr="0059355A" w14:paraId="1F491EEF" w14:textId="77777777" w:rsidTr="00B35278">
        <w:tc>
          <w:tcPr>
            <w:tcW w:w="2165" w:type="dxa"/>
          </w:tcPr>
          <w:p w14:paraId="606FDA68" w14:textId="5A323157" w:rsidR="008F0E6C" w:rsidRDefault="008F0E6C" w:rsidP="00577ACA">
            <w:pPr>
              <w:rPr>
                <w:sz w:val="22"/>
                <w:szCs w:val="22"/>
              </w:rPr>
            </w:pPr>
            <w:r>
              <w:rPr>
                <w:sz w:val="22"/>
                <w:szCs w:val="22"/>
              </w:rPr>
              <w:t>Missouri</w:t>
            </w:r>
          </w:p>
        </w:tc>
        <w:tc>
          <w:tcPr>
            <w:tcW w:w="1147" w:type="dxa"/>
          </w:tcPr>
          <w:p w14:paraId="3E1ABD92" w14:textId="0BA87A7E" w:rsidR="008F0E6C" w:rsidRDefault="008F0E6C" w:rsidP="00577ACA">
            <w:pPr>
              <w:rPr>
                <w:sz w:val="22"/>
                <w:szCs w:val="22"/>
              </w:rPr>
            </w:pPr>
            <w:r>
              <w:rPr>
                <w:sz w:val="22"/>
                <w:szCs w:val="22"/>
              </w:rPr>
              <w:t>Yes</w:t>
            </w:r>
          </w:p>
        </w:tc>
        <w:tc>
          <w:tcPr>
            <w:tcW w:w="6038" w:type="dxa"/>
          </w:tcPr>
          <w:p w14:paraId="22E75232" w14:textId="2D76C7B8" w:rsidR="008F0E6C" w:rsidRPr="008F0E6C" w:rsidRDefault="008F0E6C" w:rsidP="00577ACA">
            <w:pPr>
              <w:rPr>
                <w:sz w:val="22"/>
                <w:szCs w:val="22"/>
              </w:rPr>
            </w:pPr>
            <w:r w:rsidRPr="008F0E6C">
              <w:rPr>
                <w:rFonts w:ascii="Calibri" w:hAnsi="Calibri"/>
                <w:color w:val="1F497D"/>
                <w:sz w:val="22"/>
                <w:szCs w:val="22"/>
              </w:rPr>
              <w:t>We have PTO and sick. Sick is earned 8 hours a month up to 280 hours. PTO is awarded and is on a scale from 1 week your first year up to a max of 4.5 weeks at 5 years.</w:t>
            </w:r>
          </w:p>
        </w:tc>
      </w:tr>
      <w:tr w:rsidR="004D6C3F" w:rsidRPr="0059355A" w14:paraId="55C1833E" w14:textId="77777777" w:rsidTr="00B35278">
        <w:tc>
          <w:tcPr>
            <w:tcW w:w="2165" w:type="dxa"/>
          </w:tcPr>
          <w:p w14:paraId="2631522C" w14:textId="559C75FA" w:rsidR="004D6C3F" w:rsidRPr="0059355A" w:rsidRDefault="008F0E6C" w:rsidP="00577ACA">
            <w:pPr>
              <w:rPr>
                <w:sz w:val="22"/>
                <w:szCs w:val="22"/>
              </w:rPr>
            </w:pPr>
            <w:r>
              <w:rPr>
                <w:sz w:val="22"/>
                <w:szCs w:val="22"/>
              </w:rPr>
              <w:t>Montana</w:t>
            </w:r>
          </w:p>
        </w:tc>
        <w:tc>
          <w:tcPr>
            <w:tcW w:w="1147" w:type="dxa"/>
          </w:tcPr>
          <w:p w14:paraId="4D2A389A" w14:textId="7891BD0E" w:rsidR="004D6C3F" w:rsidRPr="0059355A" w:rsidRDefault="008F0E6C" w:rsidP="00577ACA">
            <w:pPr>
              <w:rPr>
                <w:sz w:val="22"/>
                <w:szCs w:val="22"/>
              </w:rPr>
            </w:pPr>
            <w:r>
              <w:rPr>
                <w:sz w:val="22"/>
                <w:szCs w:val="22"/>
              </w:rPr>
              <w:t>No</w:t>
            </w:r>
          </w:p>
        </w:tc>
        <w:tc>
          <w:tcPr>
            <w:tcW w:w="6038" w:type="dxa"/>
          </w:tcPr>
          <w:p w14:paraId="67CA44E2" w14:textId="77777777" w:rsidR="004D6C3F" w:rsidRPr="0059355A" w:rsidRDefault="004D6C3F" w:rsidP="00577ACA">
            <w:pPr>
              <w:rPr>
                <w:sz w:val="22"/>
                <w:szCs w:val="22"/>
              </w:rPr>
            </w:pPr>
          </w:p>
        </w:tc>
      </w:tr>
      <w:tr w:rsidR="0064793F" w:rsidRPr="0059355A" w14:paraId="33663BBF" w14:textId="77777777" w:rsidTr="00B35278">
        <w:tc>
          <w:tcPr>
            <w:tcW w:w="2165" w:type="dxa"/>
          </w:tcPr>
          <w:p w14:paraId="310973B9" w14:textId="40A7B15F" w:rsidR="0064793F" w:rsidRDefault="0064793F" w:rsidP="00577ACA">
            <w:pPr>
              <w:rPr>
                <w:sz w:val="22"/>
                <w:szCs w:val="22"/>
              </w:rPr>
            </w:pPr>
            <w:r>
              <w:rPr>
                <w:sz w:val="22"/>
                <w:szCs w:val="22"/>
              </w:rPr>
              <w:t>Nebraska</w:t>
            </w:r>
          </w:p>
        </w:tc>
        <w:tc>
          <w:tcPr>
            <w:tcW w:w="1147" w:type="dxa"/>
          </w:tcPr>
          <w:p w14:paraId="52A950D4" w14:textId="1AD9B65E" w:rsidR="0064793F" w:rsidRDefault="0064793F" w:rsidP="00577ACA">
            <w:pPr>
              <w:rPr>
                <w:sz w:val="22"/>
                <w:szCs w:val="22"/>
              </w:rPr>
            </w:pPr>
            <w:r>
              <w:rPr>
                <w:sz w:val="22"/>
                <w:szCs w:val="22"/>
              </w:rPr>
              <w:t>No</w:t>
            </w:r>
          </w:p>
        </w:tc>
        <w:tc>
          <w:tcPr>
            <w:tcW w:w="6038" w:type="dxa"/>
          </w:tcPr>
          <w:p w14:paraId="448EBFF0" w14:textId="77777777" w:rsidR="0064793F" w:rsidRPr="0059355A" w:rsidRDefault="0064793F" w:rsidP="00577ACA">
            <w:pPr>
              <w:rPr>
                <w:sz w:val="22"/>
                <w:szCs w:val="22"/>
              </w:rPr>
            </w:pPr>
          </w:p>
        </w:tc>
      </w:tr>
      <w:tr w:rsidR="0063087A" w:rsidRPr="0059355A" w14:paraId="1C8EEFCF" w14:textId="77777777" w:rsidTr="00B35278">
        <w:tc>
          <w:tcPr>
            <w:tcW w:w="2165" w:type="dxa"/>
          </w:tcPr>
          <w:p w14:paraId="051238A5" w14:textId="7EEACFD0" w:rsidR="0063087A" w:rsidRDefault="0063087A" w:rsidP="00577ACA">
            <w:pPr>
              <w:rPr>
                <w:sz w:val="22"/>
                <w:szCs w:val="22"/>
              </w:rPr>
            </w:pPr>
            <w:r>
              <w:rPr>
                <w:sz w:val="22"/>
                <w:szCs w:val="22"/>
              </w:rPr>
              <w:t>Nevada</w:t>
            </w:r>
          </w:p>
        </w:tc>
        <w:tc>
          <w:tcPr>
            <w:tcW w:w="1147" w:type="dxa"/>
          </w:tcPr>
          <w:p w14:paraId="2713C20C" w14:textId="78A52F85" w:rsidR="0063087A" w:rsidRDefault="0063087A" w:rsidP="00577ACA">
            <w:pPr>
              <w:rPr>
                <w:sz w:val="22"/>
                <w:szCs w:val="22"/>
              </w:rPr>
            </w:pPr>
            <w:r>
              <w:rPr>
                <w:sz w:val="22"/>
                <w:szCs w:val="22"/>
              </w:rPr>
              <w:t>No</w:t>
            </w:r>
          </w:p>
        </w:tc>
        <w:tc>
          <w:tcPr>
            <w:tcW w:w="6038" w:type="dxa"/>
          </w:tcPr>
          <w:p w14:paraId="3C08115D" w14:textId="77777777" w:rsidR="0063087A" w:rsidRPr="0059355A" w:rsidRDefault="0063087A" w:rsidP="00577ACA">
            <w:pPr>
              <w:rPr>
                <w:sz w:val="22"/>
                <w:szCs w:val="22"/>
              </w:rPr>
            </w:pPr>
          </w:p>
        </w:tc>
      </w:tr>
      <w:tr w:rsidR="004D6C3F" w:rsidRPr="0059355A" w14:paraId="79C5FCCF" w14:textId="77777777" w:rsidTr="00B35278">
        <w:tc>
          <w:tcPr>
            <w:tcW w:w="2165" w:type="dxa"/>
          </w:tcPr>
          <w:p w14:paraId="4D920FD8" w14:textId="6A09A42B" w:rsidR="004D6C3F" w:rsidRPr="0059355A" w:rsidRDefault="008F0E6C" w:rsidP="00577ACA">
            <w:pPr>
              <w:rPr>
                <w:sz w:val="22"/>
                <w:szCs w:val="22"/>
              </w:rPr>
            </w:pPr>
            <w:r>
              <w:rPr>
                <w:sz w:val="22"/>
                <w:szCs w:val="22"/>
              </w:rPr>
              <w:t>New Hampshire</w:t>
            </w:r>
          </w:p>
        </w:tc>
        <w:tc>
          <w:tcPr>
            <w:tcW w:w="1147" w:type="dxa"/>
          </w:tcPr>
          <w:p w14:paraId="7776B0D9" w14:textId="0CD9A1A9" w:rsidR="004D6C3F" w:rsidRPr="0059355A" w:rsidRDefault="008F0E6C" w:rsidP="00577ACA">
            <w:pPr>
              <w:rPr>
                <w:sz w:val="22"/>
                <w:szCs w:val="22"/>
              </w:rPr>
            </w:pPr>
            <w:r>
              <w:rPr>
                <w:sz w:val="22"/>
                <w:szCs w:val="22"/>
              </w:rPr>
              <w:t>No</w:t>
            </w:r>
          </w:p>
        </w:tc>
        <w:tc>
          <w:tcPr>
            <w:tcW w:w="6038" w:type="dxa"/>
          </w:tcPr>
          <w:p w14:paraId="1F6B7DCE" w14:textId="77777777" w:rsidR="004D6C3F" w:rsidRPr="0059355A" w:rsidRDefault="004D6C3F" w:rsidP="00577ACA">
            <w:pPr>
              <w:rPr>
                <w:sz w:val="22"/>
                <w:szCs w:val="22"/>
              </w:rPr>
            </w:pPr>
          </w:p>
        </w:tc>
      </w:tr>
      <w:tr w:rsidR="004D6C3F" w:rsidRPr="0059355A" w14:paraId="6160DAA7" w14:textId="77777777" w:rsidTr="00B35278">
        <w:tc>
          <w:tcPr>
            <w:tcW w:w="2165" w:type="dxa"/>
          </w:tcPr>
          <w:p w14:paraId="724E7769" w14:textId="5F8BFE1F" w:rsidR="004D6C3F" w:rsidRPr="0059355A" w:rsidRDefault="00F003A9" w:rsidP="00577ACA">
            <w:pPr>
              <w:rPr>
                <w:sz w:val="22"/>
                <w:szCs w:val="22"/>
              </w:rPr>
            </w:pPr>
            <w:r>
              <w:rPr>
                <w:sz w:val="22"/>
                <w:szCs w:val="22"/>
              </w:rPr>
              <w:t>New York</w:t>
            </w:r>
          </w:p>
        </w:tc>
        <w:tc>
          <w:tcPr>
            <w:tcW w:w="1147" w:type="dxa"/>
          </w:tcPr>
          <w:p w14:paraId="4747DD32" w14:textId="6B90BE49" w:rsidR="004D6C3F" w:rsidRPr="0059355A" w:rsidRDefault="00F003A9" w:rsidP="00577ACA">
            <w:pPr>
              <w:rPr>
                <w:sz w:val="22"/>
                <w:szCs w:val="22"/>
              </w:rPr>
            </w:pPr>
            <w:r>
              <w:rPr>
                <w:sz w:val="22"/>
                <w:szCs w:val="22"/>
              </w:rPr>
              <w:t>No</w:t>
            </w:r>
          </w:p>
        </w:tc>
        <w:tc>
          <w:tcPr>
            <w:tcW w:w="6038" w:type="dxa"/>
          </w:tcPr>
          <w:p w14:paraId="2AFDB04A" w14:textId="77777777" w:rsidR="004D6C3F" w:rsidRPr="0059355A" w:rsidRDefault="004D6C3F" w:rsidP="00577ACA">
            <w:pPr>
              <w:rPr>
                <w:sz w:val="22"/>
                <w:szCs w:val="22"/>
              </w:rPr>
            </w:pPr>
          </w:p>
        </w:tc>
      </w:tr>
      <w:tr w:rsidR="00B35278" w:rsidRPr="0059355A" w14:paraId="46F92619" w14:textId="77777777" w:rsidTr="00B35278">
        <w:tc>
          <w:tcPr>
            <w:tcW w:w="2165" w:type="dxa"/>
          </w:tcPr>
          <w:p w14:paraId="3A032131" w14:textId="17F69D2B" w:rsidR="00B35278" w:rsidRDefault="00B35278" w:rsidP="00577ACA">
            <w:pPr>
              <w:rPr>
                <w:sz w:val="22"/>
                <w:szCs w:val="22"/>
              </w:rPr>
            </w:pPr>
            <w:r>
              <w:rPr>
                <w:sz w:val="22"/>
                <w:szCs w:val="22"/>
              </w:rPr>
              <w:t>North Carolina</w:t>
            </w:r>
          </w:p>
        </w:tc>
        <w:tc>
          <w:tcPr>
            <w:tcW w:w="1147" w:type="dxa"/>
          </w:tcPr>
          <w:p w14:paraId="251D1C82" w14:textId="4EBC9EDD" w:rsidR="00B35278" w:rsidRDefault="00B35278" w:rsidP="00577ACA">
            <w:pPr>
              <w:rPr>
                <w:sz w:val="22"/>
                <w:szCs w:val="22"/>
              </w:rPr>
            </w:pPr>
            <w:r>
              <w:rPr>
                <w:sz w:val="22"/>
                <w:szCs w:val="22"/>
              </w:rPr>
              <w:t>No</w:t>
            </w:r>
          </w:p>
        </w:tc>
        <w:tc>
          <w:tcPr>
            <w:tcW w:w="6038" w:type="dxa"/>
          </w:tcPr>
          <w:p w14:paraId="68DB7A8B" w14:textId="77777777" w:rsidR="00B35278" w:rsidRPr="0059355A" w:rsidRDefault="00B35278" w:rsidP="00577ACA">
            <w:pPr>
              <w:rPr>
                <w:sz w:val="22"/>
                <w:szCs w:val="22"/>
              </w:rPr>
            </w:pPr>
          </w:p>
        </w:tc>
      </w:tr>
      <w:tr w:rsidR="00382F90" w:rsidRPr="0059355A" w14:paraId="69391059" w14:textId="77777777" w:rsidTr="00B35278">
        <w:tc>
          <w:tcPr>
            <w:tcW w:w="2165" w:type="dxa"/>
          </w:tcPr>
          <w:p w14:paraId="12DC958F" w14:textId="2549DEEF" w:rsidR="00382F90" w:rsidRDefault="00382F90" w:rsidP="00577ACA">
            <w:pPr>
              <w:rPr>
                <w:sz w:val="22"/>
                <w:szCs w:val="22"/>
              </w:rPr>
            </w:pPr>
            <w:r>
              <w:rPr>
                <w:sz w:val="22"/>
                <w:szCs w:val="22"/>
              </w:rPr>
              <w:t>Ohio</w:t>
            </w:r>
          </w:p>
        </w:tc>
        <w:tc>
          <w:tcPr>
            <w:tcW w:w="1147" w:type="dxa"/>
          </w:tcPr>
          <w:p w14:paraId="3362474C" w14:textId="28C766CD" w:rsidR="00382F90" w:rsidRDefault="00382F90" w:rsidP="00577ACA">
            <w:pPr>
              <w:rPr>
                <w:sz w:val="22"/>
                <w:szCs w:val="22"/>
              </w:rPr>
            </w:pPr>
            <w:r>
              <w:rPr>
                <w:sz w:val="22"/>
                <w:szCs w:val="22"/>
              </w:rPr>
              <w:t>Yes</w:t>
            </w:r>
          </w:p>
        </w:tc>
        <w:tc>
          <w:tcPr>
            <w:tcW w:w="6038" w:type="dxa"/>
          </w:tcPr>
          <w:p w14:paraId="5359C347" w14:textId="0D74FC8A" w:rsidR="00382F90" w:rsidRDefault="00382F90" w:rsidP="00C5027B">
            <w:pPr>
              <w:rPr>
                <w:color w:val="000000"/>
                <w:sz w:val="22"/>
                <w:szCs w:val="22"/>
              </w:rPr>
            </w:pPr>
            <w:r w:rsidRPr="00382F90">
              <w:rPr>
                <w:color w:val="000000"/>
                <w:sz w:val="22"/>
                <w:szCs w:val="22"/>
              </w:rPr>
              <w:t>Ohio uses PTO. PTO first year 20 days, 1 to 3 years, 26 days, 3 to 10 years 31 days, 10 or more 36 days</w:t>
            </w:r>
            <w:r w:rsidR="00C5027B">
              <w:rPr>
                <w:color w:val="000000"/>
                <w:sz w:val="22"/>
                <w:szCs w:val="22"/>
              </w:rPr>
              <w:t>;</w:t>
            </w:r>
          </w:p>
          <w:p w14:paraId="35A56411" w14:textId="77777777" w:rsidR="00C5027B" w:rsidRDefault="00C5027B" w:rsidP="00C5027B">
            <w:pPr>
              <w:rPr>
                <w:color w:val="000000"/>
                <w:sz w:val="22"/>
                <w:szCs w:val="22"/>
              </w:rPr>
            </w:pPr>
            <w:r w:rsidRPr="00382F90">
              <w:rPr>
                <w:color w:val="000000"/>
                <w:sz w:val="22"/>
                <w:szCs w:val="22"/>
              </w:rPr>
              <w:t>This does not include holidays or bereavement</w:t>
            </w:r>
            <w:r>
              <w:rPr>
                <w:color w:val="000000"/>
                <w:sz w:val="22"/>
                <w:szCs w:val="22"/>
              </w:rPr>
              <w:t xml:space="preserve">. </w:t>
            </w:r>
          </w:p>
          <w:p w14:paraId="5C55F8DD" w14:textId="0FA6CF8D" w:rsidR="00C5027B" w:rsidRPr="00C5027B" w:rsidRDefault="00C5027B" w:rsidP="00C5027B">
            <w:pPr>
              <w:rPr>
                <w:sz w:val="22"/>
                <w:szCs w:val="22"/>
              </w:rPr>
            </w:pPr>
            <w:r w:rsidRPr="00382F90">
              <w:rPr>
                <w:color w:val="000000"/>
                <w:sz w:val="22"/>
                <w:szCs w:val="22"/>
              </w:rPr>
              <w:t>5 days for family, 1 day everyone else, the 5 days can also be used for serious illness of immediate family, as example an employee just had a baby in the NICU for a week) </w:t>
            </w:r>
          </w:p>
        </w:tc>
      </w:tr>
      <w:tr w:rsidR="00B35278" w:rsidRPr="0059355A" w14:paraId="69510F3A" w14:textId="77777777" w:rsidTr="00B35278">
        <w:tc>
          <w:tcPr>
            <w:tcW w:w="2165" w:type="dxa"/>
          </w:tcPr>
          <w:p w14:paraId="663E57AF" w14:textId="15C395F9" w:rsidR="00B35278" w:rsidRDefault="00B35278" w:rsidP="00577ACA">
            <w:pPr>
              <w:rPr>
                <w:sz w:val="22"/>
                <w:szCs w:val="22"/>
              </w:rPr>
            </w:pPr>
            <w:r>
              <w:rPr>
                <w:sz w:val="22"/>
                <w:szCs w:val="22"/>
              </w:rPr>
              <w:t>Oregon</w:t>
            </w:r>
          </w:p>
        </w:tc>
        <w:tc>
          <w:tcPr>
            <w:tcW w:w="1147" w:type="dxa"/>
          </w:tcPr>
          <w:p w14:paraId="00B6AF04" w14:textId="66CCF3DF" w:rsidR="00B35278" w:rsidRDefault="00B35278" w:rsidP="00577ACA">
            <w:pPr>
              <w:rPr>
                <w:sz w:val="22"/>
                <w:szCs w:val="22"/>
              </w:rPr>
            </w:pPr>
            <w:r>
              <w:rPr>
                <w:sz w:val="22"/>
                <w:szCs w:val="22"/>
              </w:rPr>
              <w:t>Yes</w:t>
            </w:r>
          </w:p>
        </w:tc>
        <w:tc>
          <w:tcPr>
            <w:tcW w:w="6038" w:type="dxa"/>
          </w:tcPr>
          <w:p w14:paraId="7B64E924" w14:textId="77777777" w:rsidR="00B35278" w:rsidRPr="0059355A" w:rsidRDefault="00B35278" w:rsidP="00577ACA">
            <w:pPr>
              <w:rPr>
                <w:sz w:val="22"/>
                <w:szCs w:val="22"/>
              </w:rPr>
            </w:pPr>
          </w:p>
        </w:tc>
      </w:tr>
      <w:tr w:rsidR="004D6C3F" w:rsidRPr="0059355A" w14:paraId="0695A206" w14:textId="77777777" w:rsidTr="00B35278">
        <w:tc>
          <w:tcPr>
            <w:tcW w:w="2165" w:type="dxa"/>
          </w:tcPr>
          <w:p w14:paraId="10000497" w14:textId="11B4DB8D" w:rsidR="004D6C3F" w:rsidRPr="0059355A" w:rsidRDefault="00975BBB" w:rsidP="00577ACA">
            <w:pPr>
              <w:rPr>
                <w:sz w:val="22"/>
                <w:szCs w:val="22"/>
              </w:rPr>
            </w:pPr>
            <w:r>
              <w:rPr>
                <w:sz w:val="22"/>
                <w:szCs w:val="22"/>
              </w:rPr>
              <w:t>Rhode Island</w:t>
            </w:r>
          </w:p>
        </w:tc>
        <w:tc>
          <w:tcPr>
            <w:tcW w:w="1147" w:type="dxa"/>
          </w:tcPr>
          <w:p w14:paraId="6BBCD7EA" w14:textId="4D31205B" w:rsidR="004D6C3F" w:rsidRPr="0059355A" w:rsidRDefault="00975BBB" w:rsidP="00577ACA">
            <w:pPr>
              <w:rPr>
                <w:sz w:val="22"/>
                <w:szCs w:val="22"/>
              </w:rPr>
            </w:pPr>
            <w:r>
              <w:rPr>
                <w:sz w:val="22"/>
                <w:szCs w:val="22"/>
              </w:rPr>
              <w:t>No</w:t>
            </w:r>
          </w:p>
        </w:tc>
        <w:tc>
          <w:tcPr>
            <w:tcW w:w="6038" w:type="dxa"/>
          </w:tcPr>
          <w:p w14:paraId="46B41BA7" w14:textId="77777777" w:rsidR="004D6C3F" w:rsidRPr="0059355A" w:rsidRDefault="004D6C3F" w:rsidP="00577ACA">
            <w:pPr>
              <w:rPr>
                <w:sz w:val="22"/>
                <w:szCs w:val="22"/>
              </w:rPr>
            </w:pPr>
          </w:p>
        </w:tc>
      </w:tr>
      <w:tr w:rsidR="004D6C3F" w:rsidRPr="0059355A" w14:paraId="4A5AAF45" w14:textId="77777777" w:rsidTr="00B35278">
        <w:tc>
          <w:tcPr>
            <w:tcW w:w="2165" w:type="dxa"/>
          </w:tcPr>
          <w:p w14:paraId="0DE10436" w14:textId="7B5C085E" w:rsidR="004D6C3F" w:rsidRPr="0059355A" w:rsidRDefault="0064793F" w:rsidP="00577ACA">
            <w:pPr>
              <w:rPr>
                <w:sz w:val="22"/>
                <w:szCs w:val="22"/>
              </w:rPr>
            </w:pPr>
            <w:r>
              <w:rPr>
                <w:sz w:val="22"/>
                <w:szCs w:val="22"/>
              </w:rPr>
              <w:t>Virginia</w:t>
            </w:r>
          </w:p>
        </w:tc>
        <w:tc>
          <w:tcPr>
            <w:tcW w:w="1147" w:type="dxa"/>
          </w:tcPr>
          <w:p w14:paraId="0C6B4850" w14:textId="1578356F" w:rsidR="004D6C3F" w:rsidRPr="0059355A" w:rsidRDefault="0064793F" w:rsidP="00577ACA">
            <w:pPr>
              <w:rPr>
                <w:sz w:val="22"/>
                <w:szCs w:val="22"/>
              </w:rPr>
            </w:pPr>
            <w:r>
              <w:rPr>
                <w:sz w:val="22"/>
                <w:szCs w:val="22"/>
              </w:rPr>
              <w:t>No but…</w:t>
            </w:r>
          </w:p>
        </w:tc>
        <w:tc>
          <w:tcPr>
            <w:tcW w:w="6038" w:type="dxa"/>
          </w:tcPr>
          <w:p w14:paraId="0AC1DD7D" w14:textId="60D4CE39" w:rsidR="004D6C3F" w:rsidRPr="0064793F" w:rsidRDefault="0064793F" w:rsidP="00577ACA">
            <w:pPr>
              <w:rPr>
                <w:sz w:val="22"/>
                <w:szCs w:val="22"/>
              </w:rPr>
            </w:pPr>
            <w:r w:rsidRPr="0064793F">
              <w:rPr>
                <w:rFonts w:ascii="Calibri" w:hAnsi="Calibri"/>
                <w:color w:val="000000"/>
                <w:sz w:val="22"/>
                <w:szCs w:val="22"/>
              </w:rPr>
              <w:t xml:space="preserve">We have a category called “circle of life </w:t>
            </w:r>
            <w:proofErr w:type="gramStart"/>
            <w:r w:rsidRPr="0064793F">
              <w:rPr>
                <w:rFonts w:ascii="Calibri" w:hAnsi="Calibri"/>
                <w:color w:val="000000"/>
                <w:sz w:val="22"/>
                <w:szCs w:val="22"/>
              </w:rPr>
              <w:t>leave</w:t>
            </w:r>
            <w:proofErr w:type="gramEnd"/>
            <w:r w:rsidRPr="0064793F">
              <w:rPr>
                <w:rFonts w:ascii="Calibri" w:hAnsi="Calibri"/>
                <w:color w:val="000000"/>
                <w:sz w:val="22"/>
                <w:szCs w:val="22"/>
              </w:rPr>
              <w:t xml:space="preserve">” for things that don’t fit in </w:t>
            </w:r>
            <w:r>
              <w:rPr>
                <w:rFonts w:ascii="Calibri" w:hAnsi="Calibri"/>
                <w:color w:val="000000"/>
                <w:sz w:val="22"/>
                <w:szCs w:val="22"/>
              </w:rPr>
              <w:t>our current sick or vacation leave</w:t>
            </w:r>
            <w:r w:rsidRPr="0064793F">
              <w:rPr>
                <w:rFonts w:ascii="Calibri" w:hAnsi="Calibri"/>
                <w:color w:val="000000"/>
                <w:sz w:val="22"/>
                <w:szCs w:val="22"/>
              </w:rPr>
              <w:t>.</w:t>
            </w:r>
          </w:p>
        </w:tc>
      </w:tr>
      <w:tr w:rsidR="00577ACA" w:rsidRPr="0059355A" w14:paraId="59661CF1" w14:textId="77777777" w:rsidTr="00B35278">
        <w:tc>
          <w:tcPr>
            <w:tcW w:w="2165" w:type="dxa"/>
          </w:tcPr>
          <w:p w14:paraId="4B8AB943" w14:textId="58295780" w:rsidR="00577ACA" w:rsidRPr="0059355A" w:rsidRDefault="000A1DC3" w:rsidP="00577ACA">
            <w:pPr>
              <w:rPr>
                <w:sz w:val="22"/>
                <w:szCs w:val="22"/>
              </w:rPr>
            </w:pPr>
            <w:r>
              <w:rPr>
                <w:sz w:val="22"/>
                <w:szCs w:val="22"/>
              </w:rPr>
              <w:t>Washington</w:t>
            </w:r>
          </w:p>
        </w:tc>
        <w:tc>
          <w:tcPr>
            <w:tcW w:w="1147" w:type="dxa"/>
          </w:tcPr>
          <w:p w14:paraId="23F21728" w14:textId="5F2CA04D" w:rsidR="00577ACA" w:rsidRPr="0059355A" w:rsidRDefault="000A1DC3" w:rsidP="00577ACA">
            <w:pPr>
              <w:rPr>
                <w:sz w:val="22"/>
                <w:szCs w:val="22"/>
              </w:rPr>
            </w:pPr>
            <w:r>
              <w:rPr>
                <w:sz w:val="22"/>
                <w:szCs w:val="22"/>
              </w:rPr>
              <w:t>No</w:t>
            </w:r>
          </w:p>
        </w:tc>
        <w:tc>
          <w:tcPr>
            <w:tcW w:w="6038" w:type="dxa"/>
          </w:tcPr>
          <w:p w14:paraId="196F2EE1" w14:textId="4B0A2B7D" w:rsidR="00577ACA" w:rsidRPr="0059355A" w:rsidRDefault="00577ACA" w:rsidP="00577ACA">
            <w:pPr>
              <w:rPr>
                <w:sz w:val="22"/>
                <w:szCs w:val="22"/>
              </w:rPr>
            </w:pPr>
          </w:p>
        </w:tc>
      </w:tr>
      <w:tr w:rsidR="0064793F" w:rsidRPr="0059355A" w14:paraId="7E74D0E1" w14:textId="77777777" w:rsidTr="00B35278">
        <w:tc>
          <w:tcPr>
            <w:tcW w:w="2165" w:type="dxa"/>
          </w:tcPr>
          <w:p w14:paraId="3F24F8E1" w14:textId="41F2C7F6" w:rsidR="0064793F" w:rsidRDefault="0064793F" w:rsidP="00577ACA">
            <w:pPr>
              <w:rPr>
                <w:sz w:val="22"/>
                <w:szCs w:val="22"/>
              </w:rPr>
            </w:pPr>
            <w:r>
              <w:rPr>
                <w:sz w:val="22"/>
                <w:szCs w:val="22"/>
              </w:rPr>
              <w:t>West Virginia</w:t>
            </w:r>
          </w:p>
        </w:tc>
        <w:tc>
          <w:tcPr>
            <w:tcW w:w="1147" w:type="dxa"/>
          </w:tcPr>
          <w:p w14:paraId="086C9CB1" w14:textId="58453A8A" w:rsidR="0064793F" w:rsidRDefault="0064793F" w:rsidP="00577ACA">
            <w:pPr>
              <w:rPr>
                <w:sz w:val="22"/>
                <w:szCs w:val="22"/>
              </w:rPr>
            </w:pPr>
            <w:r>
              <w:rPr>
                <w:sz w:val="22"/>
                <w:szCs w:val="22"/>
              </w:rPr>
              <w:t>No</w:t>
            </w:r>
          </w:p>
        </w:tc>
        <w:tc>
          <w:tcPr>
            <w:tcW w:w="6038" w:type="dxa"/>
          </w:tcPr>
          <w:p w14:paraId="49C3FAAE" w14:textId="77777777" w:rsidR="0064793F" w:rsidRPr="0059355A" w:rsidRDefault="0064793F" w:rsidP="00577ACA">
            <w:pPr>
              <w:rPr>
                <w:sz w:val="22"/>
                <w:szCs w:val="22"/>
              </w:rPr>
            </w:pPr>
          </w:p>
        </w:tc>
      </w:tr>
      <w:tr w:rsidR="008A789A" w:rsidRPr="0059355A" w14:paraId="6BF44D81" w14:textId="77777777" w:rsidTr="00B35278">
        <w:tc>
          <w:tcPr>
            <w:tcW w:w="2165" w:type="dxa"/>
          </w:tcPr>
          <w:p w14:paraId="4FB84005" w14:textId="2D6FE8C0" w:rsidR="008A789A" w:rsidRDefault="008A789A" w:rsidP="00577ACA">
            <w:pPr>
              <w:rPr>
                <w:sz w:val="22"/>
                <w:szCs w:val="22"/>
              </w:rPr>
            </w:pPr>
            <w:r>
              <w:rPr>
                <w:sz w:val="22"/>
                <w:szCs w:val="22"/>
              </w:rPr>
              <w:t>Wisconsin</w:t>
            </w:r>
          </w:p>
        </w:tc>
        <w:tc>
          <w:tcPr>
            <w:tcW w:w="1147" w:type="dxa"/>
          </w:tcPr>
          <w:p w14:paraId="6A7CEA4A" w14:textId="07079FCD" w:rsidR="008A789A" w:rsidRDefault="008A789A" w:rsidP="00577ACA">
            <w:pPr>
              <w:rPr>
                <w:sz w:val="22"/>
                <w:szCs w:val="22"/>
              </w:rPr>
            </w:pPr>
            <w:r>
              <w:rPr>
                <w:sz w:val="22"/>
                <w:szCs w:val="22"/>
              </w:rPr>
              <w:t>No</w:t>
            </w:r>
          </w:p>
        </w:tc>
        <w:tc>
          <w:tcPr>
            <w:tcW w:w="6038" w:type="dxa"/>
          </w:tcPr>
          <w:p w14:paraId="5534F6FE" w14:textId="77777777" w:rsidR="008A789A" w:rsidRPr="0059355A" w:rsidRDefault="008A789A" w:rsidP="00577ACA">
            <w:pPr>
              <w:rPr>
                <w:sz w:val="22"/>
                <w:szCs w:val="22"/>
              </w:rPr>
            </w:pPr>
          </w:p>
        </w:tc>
      </w:tr>
    </w:tbl>
    <w:p w14:paraId="3D713406" w14:textId="77777777" w:rsidR="00674B35" w:rsidRDefault="00674B35">
      <w:pPr>
        <w:rPr>
          <w:sz w:val="22"/>
          <w:szCs w:val="22"/>
        </w:rPr>
      </w:pPr>
    </w:p>
    <w:p w14:paraId="1BBBE58A" w14:textId="77777777" w:rsidR="009B6F26" w:rsidRDefault="009B6F26">
      <w:pPr>
        <w:rPr>
          <w:sz w:val="22"/>
          <w:szCs w:val="22"/>
        </w:rPr>
      </w:pPr>
    </w:p>
    <w:p w14:paraId="4BF648C0" w14:textId="77777777" w:rsidR="00675555" w:rsidRDefault="00675555">
      <w:pPr>
        <w:rPr>
          <w:sz w:val="22"/>
          <w:szCs w:val="22"/>
        </w:rPr>
      </w:pPr>
    </w:p>
    <w:p w14:paraId="1261AD70" w14:textId="587CEF54" w:rsidR="009B6F26" w:rsidRDefault="0064793F">
      <w:pPr>
        <w:rPr>
          <w:sz w:val="22"/>
          <w:szCs w:val="22"/>
        </w:rPr>
      </w:pPr>
      <w:r>
        <w:rPr>
          <w:sz w:val="22"/>
          <w:szCs w:val="22"/>
        </w:rPr>
        <w:lastRenderedPageBreak/>
        <w:t>Comments/notes</w:t>
      </w:r>
      <w:r w:rsidR="00B35278">
        <w:rPr>
          <w:sz w:val="22"/>
          <w:szCs w:val="22"/>
        </w:rPr>
        <w:t xml:space="preserve"> from the list serve responses</w:t>
      </w:r>
      <w:r>
        <w:rPr>
          <w:sz w:val="22"/>
          <w:szCs w:val="22"/>
        </w:rPr>
        <w:t>:</w:t>
      </w:r>
    </w:p>
    <w:p w14:paraId="3F452840" w14:textId="77777777" w:rsidR="0064793F" w:rsidRDefault="0064793F">
      <w:pPr>
        <w:rPr>
          <w:sz w:val="22"/>
          <w:szCs w:val="22"/>
        </w:rPr>
      </w:pPr>
    </w:p>
    <w:p w14:paraId="72C527A2" w14:textId="77777777" w:rsidR="0064793F" w:rsidRPr="0064793F" w:rsidRDefault="0064793F" w:rsidP="0064793F">
      <w:pPr>
        <w:rPr>
          <w:rFonts w:eastAsia="Times New Roman" w:cs="Times New Roman"/>
          <w:sz w:val="22"/>
          <w:szCs w:val="22"/>
        </w:rPr>
      </w:pPr>
      <w:r w:rsidRPr="0064793F">
        <w:rPr>
          <w:rFonts w:eastAsia="Times New Roman" w:cs="Times New Roman"/>
          <w:color w:val="000000"/>
          <w:sz w:val="22"/>
          <w:szCs w:val="22"/>
        </w:rPr>
        <w:t>A financial consideration is that some states require accrued vacation time to be paid out upon termination of employment.  Many states that use PTO are obligated to pay the entire PTO to be paid out.</w:t>
      </w:r>
    </w:p>
    <w:p w14:paraId="79866BD5" w14:textId="35276EE9" w:rsidR="0064793F" w:rsidRDefault="0064793F">
      <w:pPr>
        <w:rPr>
          <w:sz w:val="22"/>
          <w:szCs w:val="22"/>
        </w:rPr>
      </w:pPr>
    </w:p>
    <w:p w14:paraId="42C7603A" w14:textId="6CBE6053" w:rsidR="00B35278" w:rsidRPr="00B35278" w:rsidRDefault="00B35278" w:rsidP="00B35278">
      <w:pPr>
        <w:rPr>
          <w:rFonts w:eastAsia="Times New Roman" w:cs="Times New Roman"/>
          <w:color w:val="000000"/>
          <w:sz w:val="22"/>
          <w:szCs w:val="22"/>
        </w:rPr>
      </w:pPr>
      <w:r w:rsidRPr="00B35278">
        <w:rPr>
          <w:rFonts w:eastAsia="Times New Roman" w:cs="Times New Roman"/>
          <w:color w:val="000000"/>
          <w:sz w:val="22"/>
          <w:szCs w:val="22"/>
        </w:rPr>
        <w:t>The concept of PTO is to reduce the administrative time and challenges of trying to manage and confirm/legitimize leaves including sick time. Especially with ADA and other laws that complicate the matter.</w:t>
      </w:r>
      <w:r>
        <w:rPr>
          <w:rFonts w:eastAsia="Times New Roman" w:cs="Times New Roman"/>
          <w:color w:val="000000"/>
          <w:sz w:val="22"/>
          <w:szCs w:val="22"/>
        </w:rPr>
        <w:t xml:space="preserve"> </w:t>
      </w:r>
      <w:r w:rsidRPr="00B35278">
        <w:rPr>
          <w:rFonts w:eastAsia="Times New Roman" w:cs="Times New Roman"/>
          <w:color w:val="000000"/>
          <w:sz w:val="22"/>
          <w:szCs w:val="22"/>
        </w:rPr>
        <w:t>As such, PTO was designed to lump all leave time into a pool, that the employee has and manages themselves. When exhausted the employer them simply manages attendance issues/unexcused absences.</w:t>
      </w:r>
      <w:r>
        <w:rPr>
          <w:rFonts w:eastAsia="Times New Roman" w:cs="Times New Roman"/>
          <w:color w:val="000000"/>
          <w:sz w:val="22"/>
          <w:szCs w:val="22"/>
        </w:rPr>
        <w:t xml:space="preserve"> </w:t>
      </w:r>
      <w:r w:rsidRPr="00B35278">
        <w:rPr>
          <w:rFonts w:eastAsia="Times New Roman" w:cs="Times New Roman"/>
          <w:color w:val="000000"/>
          <w:sz w:val="22"/>
          <w:szCs w:val="22"/>
        </w:rPr>
        <w:t>You should have sick days rolled up into PTO.</w:t>
      </w:r>
      <w:r>
        <w:rPr>
          <w:rFonts w:eastAsia="Times New Roman" w:cs="Times New Roman"/>
          <w:color w:val="000000"/>
          <w:sz w:val="22"/>
          <w:szCs w:val="22"/>
        </w:rPr>
        <w:t xml:space="preserve"> </w:t>
      </w:r>
      <w:r w:rsidRPr="00B35278">
        <w:rPr>
          <w:rFonts w:eastAsia="Times New Roman" w:cs="Times New Roman"/>
          <w:color w:val="000000"/>
          <w:sz w:val="22"/>
          <w:szCs w:val="22"/>
        </w:rPr>
        <w:t>The only leave time you do not roll up would be Funeral Leave and Holidays.</w:t>
      </w:r>
    </w:p>
    <w:p w14:paraId="75C35819" w14:textId="77777777" w:rsidR="00B35278" w:rsidRPr="00B35278" w:rsidRDefault="00B35278" w:rsidP="00B35278">
      <w:pPr>
        <w:rPr>
          <w:rFonts w:ascii="Times New Roman" w:eastAsia="Times New Roman" w:hAnsi="Times New Roman" w:cs="Times New Roman"/>
        </w:rPr>
      </w:pPr>
    </w:p>
    <w:p w14:paraId="44D6A654" w14:textId="77777777" w:rsidR="00B35278" w:rsidRDefault="00B35278">
      <w:pPr>
        <w:rPr>
          <w:sz w:val="22"/>
          <w:szCs w:val="22"/>
        </w:rPr>
      </w:pPr>
    </w:p>
    <w:p w14:paraId="48474E0B" w14:textId="77777777" w:rsidR="009B6F26" w:rsidRDefault="009B6F26">
      <w:pPr>
        <w:rPr>
          <w:sz w:val="22"/>
          <w:szCs w:val="22"/>
        </w:rPr>
      </w:pPr>
    </w:p>
    <w:p w14:paraId="7289EA36" w14:textId="4251C26B" w:rsidR="009B6F26" w:rsidRDefault="009B6F26">
      <w:pPr>
        <w:rPr>
          <w:sz w:val="22"/>
          <w:szCs w:val="22"/>
        </w:rPr>
      </w:pPr>
      <w:r>
        <w:rPr>
          <w:sz w:val="22"/>
          <w:szCs w:val="22"/>
        </w:rPr>
        <w:t xml:space="preserve">This information was </w:t>
      </w:r>
      <w:proofErr w:type="spellStart"/>
      <w:r>
        <w:rPr>
          <w:sz w:val="22"/>
          <w:szCs w:val="22"/>
        </w:rPr>
        <w:t>self reported</w:t>
      </w:r>
      <w:proofErr w:type="spellEnd"/>
      <w:r>
        <w:rPr>
          <w:sz w:val="22"/>
          <w:szCs w:val="22"/>
        </w:rPr>
        <w:t xml:space="preserve"> by Coalitio</w:t>
      </w:r>
      <w:r w:rsidR="00AF5D69">
        <w:rPr>
          <w:sz w:val="22"/>
          <w:szCs w:val="22"/>
        </w:rPr>
        <w:t xml:space="preserve">ns through the NNEDV list serve in </w:t>
      </w:r>
      <w:r w:rsidR="004D6C3F">
        <w:rPr>
          <w:sz w:val="22"/>
          <w:szCs w:val="22"/>
        </w:rPr>
        <w:t>February 2018.</w:t>
      </w:r>
    </w:p>
    <w:p w14:paraId="559C6673" w14:textId="6C1332F9" w:rsidR="00675555" w:rsidRDefault="00675555">
      <w:pPr>
        <w:rPr>
          <w:sz w:val="22"/>
          <w:szCs w:val="22"/>
        </w:rPr>
      </w:pPr>
    </w:p>
    <w:p w14:paraId="37977B8F" w14:textId="38061689" w:rsidR="00675555" w:rsidRPr="0059355A" w:rsidRDefault="00675555">
      <w:pPr>
        <w:rPr>
          <w:sz w:val="22"/>
          <w:szCs w:val="22"/>
        </w:rPr>
      </w:pPr>
      <w:bookmarkStart w:id="0" w:name="_GoBack"/>
      <w:bookmarkEnd w:id="0"/>
    </w:p>
    <w:sectPr w:rsidR="00675555" w:rsidRPr="0059355A" w:rsidSect="0067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35"/>
    <w:rsid w:val="000A1DC3"/>
    <w:rsid w:val="000B03A2"/>
    <w:rsid w:val="001A66CD"/>
    <w:rsid w:val="001B1096"/>
    <w:rsid w:val="001B5361"/>
    <w:rsid w:val="001C660B"/>
    <w:rsid w:val="001D49A0"/>
    <w:rsid w:val="00265C04"/>
    <w:rsid w:val="00281459"/>
    <w:rsid w:val="00382F90"/>
    <w:rsid w:val="00412870"/>
    <w:rsid w:val="004151EA"/>
    <w:rsid w:val="004D6C3F"/>
    <w:rsid w:val="00535C88"/>
    <w:rsid w:val="00543CE3"/>
    <w:rsid w:val="00577ACA"/>
    <w:rsid w:val="0059355A"/>
    <w:rsid w:val="005958A6"/>
    <w:rsid w:val="0063087A"/>
    <w:rsid w:val="0064793F"/>
    <w:rsid w:val="006735B1"/>
    <w:rsid w:val="00674B35"/>
    <w:rsid w:val="00675555"/>
    <w:rsid w:val="00792816"/>
    <w:rsid w:val="008A789A"/>
    <w:rsid w:val="008D4D26"/>
    <w:rsid w:val="008F0E6C"/>
    <w:rsid w:val="00975BBB"/>
    <w:rsid w:val="009B6F26"/>
    <w:rsid w:val="009E41CE"/>
    <w:rsid w:val="00AF5D69"/>
    <w:rsid w:val="00B21AF5"/>
    <w:rsid w:val="00B35278"/>
    <w:rsid w:val="00B47784"/>
    <w:rsid w:val="00B86414"/>
    <w:rsid w:val="00C007A7"/>
    <w:rsid w:val="00C5027B"/>
    <w:rsid w:val="00CF7056"/>
    <w:rsid w:val="00E5393F"/>
    <w:rsid w:val="00EC53B1"/>
    <w:rsid w:val="00F003A9"/>
    <w:rsid w:val="00F2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3342"/>
  <w15:chartTrackingRefBased/>
  <w15:docId w15:val="{549B25C1-F275-F848-A30D-5B43FE09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08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8816">
      <w:bodyDiv w:val="1"/>
      <w:marLeft w:val="0"/>
      <w:marRight w:val="0"/>
      <w:marTop w:val="0"/>
      <w:marBottom w:val="0"/>
      <w:divBdr>
        <w:top w:val="none" w:sz="0" w:space="0" w:color="auto"/>
        <w:left w:val="none" w:sz="0" w:space="0" w:color="auto"/>
        <w:bottom w:val="none" w:sz="0" w:space="0" w:color="auto"/>
        <w:right w:val="none" w:sz="0" w:space="0" w:color="auto"/>
      </w:divBdr>
    </w:div>
    <w:div w:id="359016701">
      <w:bodyDiv w:val="1"/>
      <w:marLeft w:val="0"/>
      <w:marRight w:val="0"/>
      <w:marTop w:val="0"/>
      <w:marBottom w:val="0"/>
      <w:divBdr>
        <w:top w:val="none" w:sz="0" w:space="0" w:color="auto"/>
        <w:left w:val="none" w:sz="0" w:space="0" w:color="auto"/>
        <w:bottom w:val="none" w:sz="0" w:space="0" w:color="auto"/>
        <w:right w:val="none" w:sz="0" w:space="0" w:color="auto"/>
      </w:divBdr>
    </w:div>
    <w:div w:id="417216746">
      <w:bodyDiv w:val="1"/>
      <w:marLeft w:val="0"/>
      <w:marRight w:val="0"/>
      <w:marTop w:val="0"/>
      <w:marBottom w:val="0"/>
      <w:divBdr>
        <w:top w:val="none" w:sz="0" w:space="0" w:color="auto"/>
        <w:left w:val="none" w:sz="0" w:space="0" w:color="auto"/>
        <w:bottom w:val="none" w:sz="0" w:space="0" w:color="auto"/>
        <w:right w:val="none" w:sz="0" w:space="0" w:color="auto"/>
      </w:divBdr>
      <w:divsChild>
        <w:div w:id="401829059">
          <w:marLeft w:val="0"/>
          <w:marRight w:val="0"/>
          <w:marTop w:val="0"/>
          <w:marBottom w:val="0"/>
          <w:divBdr>
            <w:top w:val="none" w:sz="0" w:space="0" w:color="auto"/>
            <w:left w:val="none" w:sz="0" w:space="0" w:color="auto"/>
            <w:bottom w:val="none" w:sz="0" w:space="0" w:color="auto"/>
            <w:right w:val="none" w:sz="0" w:space="0" w:color="auto"/>
          </w:divBdr>
        </w:div>
      </w:divsChild>
    </w:div>
    <w:div w:id="945965758">
      <w:bodyDiv w:val="1"/>
      <w:marLeft w:val="0"/>
      <w:marRight w:val="0"/>
      <w:marTop w:val="0"/>
      <w:marBottom w:val="0"/>
      <w:divBdr>
        <w:top w:val="none" w:sz="0" w:space="0" w:color="auto"/>
        <w:left w:val="none" w:sz="0" w:space="0" w:color="auto"/>
        <w:bottom w:val="none" w:sz="0" w:space="0" w:color="auto"/>
        <w:right w:val="none" w:sz="0" w:space="0" w:color="auto"/>
      </w:divBdr>
    </w:div>
    <w:div w:id="1166362335">
      <w:bodyDiv w:val="1"/>
      <w:marLeft w:val="0"/>
      <w:marRight w:val="0"/>
      <w:marTop w:val="0"/>
      <w:marBottom w:val="0"/>
      <w:divBdr>
        <w:top w:val="none" w:sz="0" w:space="0" w:color="auto"/>
        <w:left w:val="none" w:sz="0" w:space="0" w:color="auto"/>
        <w:bottom w:val="none" w:sz="0" w:space="0" w:color="auto"/>
        <w:right w:val="none" w:sz="0" w:space="0" w:color="auto"/>
      </w:divBdr>
    </w:div>
    <w:div w:id="1591695611">
      <w:bodyDiv w:val="1"/>
      <w:marLeft w:val="0"/>
      <w:marRight w:val="0"/>
      <w:marTop w:val="0"/>
      <w:marBottom w:val="0"/>
      <w:divBdr>
        <w:top w:val="none" w:sz="0" w:space="0" w:color="auto"/>
        <w:left w:val="none" w:sz="0" w:space="0" w:color="auto"/>
        <w:bottom w:val="none" w:sz="0" w:space="0" w:color="auto"/>
        <w:right w:val="none" w:sz="0" w:space="0" w:color="auto"/>
      </w:divBdr>
    </w:div>
    <w:div w:id="1611937989">
      <w:bodyDiv w:val="1"/>
      <w:marLeft w:val="0"/>
      <w:marRight w:val="0"/>
      <w:marTop w:val="0"/>
      <w:marBottom w:val="0"/>
      <w:divBdr>
        <w:top w:val="none" w:sz="0" w:space="0" w:color="auto"/>
        <w:left w:val="none" w:sz="0" w:space="0" w:color="auto"/>
        <w:bottom w:val="none" w:sz="0" w:space="0" w:color="auto"/>
        <w:right w:val="none" w:sz="0" w:space="0" w:color="auto"/>
      </w:divBdr>
    </w:div>
    <w:div w:id="1618441411">
      <w:bodyDiv w:val="1"/>
      <w:marLeft w:val="0"/>
      <w:marRight w:val="0"/>
      <w:marTop w:val="0"/>
      <w:marBottom w:val="0"/>
      <w:divBdr>
        <w:top w:val="none" w:sz="0" w:space="0" w:color="auto"/>
        <w:left w:val="none" w:sz="0" w:space="0" w:color="auto"/>
        <w:bottom w:val="none" w:sz="0" w:space="0" w:color="auto"/>
        <w:right w:val="none" w:sz="0" w:space="0" w:color="auto"/>
      </w:divBdr>
    </w:div>
    <w:div w:id="1662613176">
      <w:bodyDiv w:val="1"/>
      <w:marLeft w:val="0"/>
      <w:marRight w:val="0"/>
      <w:marTop w:val="0"/>
      <w:marBottom w:val="0"/>
      <w:divBdr>
        <w:top w:val="none" w:sz="0" w:space="0" w:color="auto"/>
        <w:left w:val="none" w:sz="0" w:space="0" w:color="auto"/>
        <w:bottom w:val="none" w:sz="0" w:space="0" w:color="auto"/>
        <w:right w:val="none" w:sz="0" w:space="0" w:color="auto"/>
      </w:divBdr>
    </w:div>
    <w:div w:id="1718164957">
      <w:bodyDiv w:val="1"/>
      <w:marLeft w:val="0"/>
      <w:marRight w:val="0"/>
      <w:marTop w:val="0"/>
      <w:marBottom w:val="0"/>
      <w:divBdr>
        <w:top w:val="none" w:sz="0" w:space="0" w:color="auto"/>
        <w:left w:val="none" w:sz="0" w:space="0" w:color="auto"/>
        <w:bottom w:val="none" w:sz="0" w:space="0" w:color="auto"/>
        <w:right w:val="none" w:sz="0" w:space="0" w:color="auto"/>
      </w:divBdr>
      <w:divsChild>
        <w:div w:id="2098360104">
          <w:marLeft w:val="0"/>
          <w:marRight w:val="0"/>
          <w:marTop w:val="0"/>
          <w:marBottom w:val="0"/>
          <w:divBdr>
            <w:top w:val="none" w:sz="0" w:space="0" w:color="auto"/>
            <w:left w:val="none" w:sz="0" w:space="0" w:color="auto"/>
            <w:bottom w:val="none" w:sz="0" w:space="0" w:color="auto"/>
            <w:right w:val="none" w:sz="0" w:space="0" w:color="auto"/>
          </w:divBdr>
        </w:div>
        <w:div w:id="1911306740">
          <w:marLeft w:val="0"/>
          <w:marRight w:val="0"/>
          <w:marTop w:val="0"/>
          <w:marBottom w:val="0"/>
          <w:divBdr>
            <w:top w:val="none" w:sz="0" w:space="0" w:color="auto"/>
            <w:left w:val="none" w:sz="0" w:space="0" w:color="auto"/>
            <w:bottom w:val="none" w:sz="0" w:space="0" w:color="auto"/>
            <w:right w:val="none" w:sz="0" w:space="0" w:color="auto"/>
          </w:divBdr>
        </w:div>
        <w:div w:id="1513102031">
          <w:marLeft w:val="0"/>
          <w:marRight w:val="0"/>
          <w:marTop w:val="0"/>
          <w:marBottom w:val="0"/>
          <w:divBdr>
            <w:top w:val="none" w:sz="0" w:space="0" w:color="auto"/>
            <w:left w:val="none" w:sz="0" w:space="0" w:color="auto"/>
            <w:bottom w:val="none" w:sz="0" w:space="0" w:color="auto"/>
            <w:right w:val="none" w:sz="0" w:space="0" w:color="auto"/>
          </w:divBdr>
        </w:div>
        <w:div w:id="383988511">
          <w:marLeft w:val="0"/>
          <w:marRight w:val="0"/>
          <w:marTop w:val="0"/>
          <w:marBottom w:val="0"/>
          <w:divBdr>
            <w:top w:val="none" w:sz="0" w:space="0" w:color="auto"/>
            <w:left w:val="none" w:sz="0" w:space="0" w:color="auto"/>
            <w:bottom w:val="none" w:sz="0" w:space="0" w:color="auto"/>
            <w:right w:val="none" w:sz="0" w:space="0" w:color="auto"/>
          </w:divBdr>
        </w:div>
        <w:div w:id="961113153">
          <w:marLeft w:val="0"/>
          <w:marRight w:val="0"/>
          <w:marTop w:val="0"/>
          <w:marBottom w:val="0"/>
          <w:divBdr>
            <w:top w:val="none" w:sz="0" w:space="0" w:color="auto"/>
            <w:left w:val="none" w:sz="0" w:space="0" w:color="auto"/>
            <w:bottom w:val="none" w:sz="0" w:space="0" w:color="auto"/>
            <w:right w:val="none" w:sz="0" w:space="0" w:color="auto"/>
          </w:divBdr>
        </w:div>
        <w:div w:id="473255692">
          <w:marLeft w:val="0"/>
          <w:marRight w:val="0"/>
          <w:marTop w:val="0"/>
          <w:marBottom w:val="0"/>
          <w:divBdr>
            <w:top w:val="none" w:sz="0" w:space="0" w:color="auto"/>
            <w:left w:val="none" w:sz="0" w:space="0" w:color="auto"/>
            <w:bottom w:val="none" w:sz="0" w:space="0" w:color="auto"/>
            <w:right w:val="none" w:sz="0" w:space="0" w:color="auto"/>
          </w:divBdr>
        </w:div>
        <w:div w:id="406419774">
          <w:marLeft w:val="0"/>
          <w:marRight w:val="0"/>
          <w:marTop w:val="0"/>
          <w:marBottom w:val="0"/>
          <w:divBdr>
            <w:top w:val="none" w:sz="0" w:space="0" w:color="auto"/>
            <w:left w:val="none" w:sz="0" w:space="0" w:color="auto"/>
            <w:bottom w:val="none" w:sz="0" w:space="0" w:color="auto"/>
            <w:right w:val="none" w:sz="0" w:space="0" w:color="auto"/>
          </w:divBdr>
        </w:div>
      </w:divsChild>
    </w:div>
    <w:div w:id="1820421232">
      <w:bodyDiv w:val="1"/>
      <w:marLeft w:val="0"/>
      <w:marRight w:val="0"/>
      <w:marTop w:val="0"/>
      <w:marBottom w:val="0"/>
      <w:divBdr>
        <w:top w:val="none" w:sz="0" w:space="0" w:color="auto"/>
        <w:left w:val="none" w:sz="0" w:space="0" w:color="auto"/>
        <w:bottom w:val="none" w:sz="0" w:space="0" w:color="auto"/>
        <w:right w:val="none" w:sz="0" w:space="0" w:color="auto"/>
      </w:divBdr>
    </w:div>
    <w:div w:id="19106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deb@debare.com</dc:creator>
  <cp:keywords/>
  <dc:description/>
  <cp:lastModifiedBy>deb@debare.com</cp:lastModifiedBy>
  <cp:revision>20</cp:revision>
  <dcterms:created xsi:type="dcterms:W3CDTF">2019-02-04T21:33:00Z</dcterms:created>
  <dcterms:modified xsi:type="dcterms:W3CDTF">2019-02-06T16:58:00Z</dcterms:modified>
</cp:coreProperties>
</file>