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F" w:rsidRDefault="00F902D5" w:rsidP="004D1D86">
      <w:pPr>
        <w:autoSpaceDE w:val="0"/>
        <w:autoSpaceDN w:val="0"/>
        <w:adjustRightInd w:val="0"/>
        <w:rPr>
          <w:rFonts w:cs="Verdana,Bold"/>
          <w:b/>
          <w:bCs/>
          <w:sz w:val="32"/>
          <w:szCs w:val="32"/>
        </w:rPr>
      </w:pPr>
      <w:r w:rsidRPr="005014B7">
        <w:rPr>
          <w:rFonts w:cs="Verdana,Bold"/>
          <w:b/>
          <w:bCs/>
          <w:sz w:val="32"/>
          <w:szCs w:val="32"/>
        </w:rPr>
        <w:t>Understanding Credit</w:t>
      </w:r>
      <w:r w:rsidR="002C08FB">
        <w:rPr>
          <w:rFonts w:cs="Verdana,Bold"/>
          <w:b/>
          <w:bCs/>
          <w:sz w:val="32"/>
          <w:szCs w:val="32"/>
        </w:rPr>
        <w:t>:</w:t>
      </w:r>
    </w:p>
    <w:p w:rsidR="002C08FB" w:rsidRPr="002C08FB" w:rsidRDefault="002C08FB" w:rsidP="004D1D86">
      <w:pPr>
        <w:autoSpaceDE w:val="0"/>
        <w:autoSpaceDN w:val="0"/>
        <w:adjustRightInd w:val="0"/>
        <w:rPr>
          <w:rFonts w:cs="Verdana,Bold"/>
          <w:bCs/>
          <w:sz w:val="24"/>
          <w:szCs w:val="24"/>
        </w:rPr>
      </w:pPr>
      <w:r>
        <w:rPr>
          <w:rFonts w:cs="Verdana,Bold"/>
          <w:bCs/>
          <w:sz w:val="24"/>
          <w:szCs w:val="24"/>
        </w:rPr>
        <w:t>A Summary of Resources for Victims of Domestic Violence</w:t>
      </w:r>
    </w:p>
    <w:p w:rsidR="00DD11FD" w:rsidRPr="002C08FB" w:rsidRDefault="00DD11FD" w:rsidP="00A0731F">
      <w:pPr>
        <w:autoSpaceDE w:val="0"/>
        <w:autoSpaceDN w:val="0"/>
        <w:adjustRightInd w:val="0"/>
        <w:rPr>
          <w:rFonts w:cs="Verdana,Bold"/>
          <w:b/>
          <w:bCs/>
          <w:color w:val="0097D7"/>
          <w:sz w:val="8"/>
          <w:szCs w:val="8"/>
        </w:rPr>
      </w:pPr>
    </w:p>
    <w:p w:rsidR="00F902D5" w:rsidRPr="005014B7" w:rsidRDefault="00E50A3B" w:rsidP="00F902D5">
      <w:pPr>
        <w:autoSpaceDE w:val="0"/>
        <w:autoSpaceDN w:val="0"/>
        <w:adjustRightInd w:val="0"/>
        <w:jc w:val="left"/>
        <w:rPr>
          <w:rFonts w:cs="Verdana"/>
          <w:sz w:val="24"/>
          <w:szCs w:val="24"/>
        </w:rPr>
      </w:pPr>
      <w:r w:rsidRPr="005014B7">
        <w:rPr>
          <w:rFonts w:cs="Verdana"/>
          <w:sz w:val="24"/>
          <w:szCs w:val="24"/>
        </w:rPr>
        <w:t>U</w:t>
      </w:r>
      <w:r w:rsidR="00F902D5" w:rsidRPr="005014B7">
        <w:rPr>
          <w:rFonts w:cs="Verdana"/>
          <w:sz w:val="24"/>
          <w:szCs w:val="24"/>
        </w:rPr>
        <w:t xml:space="preserve">nderstanding your credit score is an important step in gaining independence and building financial freedom. </w:t>
      </w:r>
      <w:r w:rsidRPr="005014B7">
        <w:rPr>
          <w:rFonts w:cs="Verdana"/>
          <w:sz w:val="24"/>
          <w:szCs w:val="24"/>
        </w:rPr>
        <w:t xml:space="preserve">Since abusers often manipulate, control, and ruin a victim’s credit as a tactic of abuse, this can be a critical step to rebuilding stability and safety for survivors of domestic violence. </w:t>
      </w:r>
    </w:p>
    <w:p w:rsidR="00F902D5" w:rsidRPr="002C08FB" w:rsidRDefault="00F902D5" w:rsidP="00F902D5">
      <w:pPr>
        <w:autoSpaceDE w:val="0"/>
        <w:autoSpaceDN w:val="0"/>
        <w:adjustRightInd w:val="0"/>
        <w:jc w:val="left"/>
        <w:rPr>
          <w:rFonts w:cs="Verdana"/>
          <w:sz w:val="8"/>
          <w:szCs w:val="8"/>
        </w:rPr>
      </w:pPr>
    </w:p>
    <w:p w:rsidR="00F54B40" w:rsidRDefault="00F902D5" w:rsidP="002C08FB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  <w:szCs w:val="24"/>
        </w:rPr>
      </w:pPr>
      <w:r w:rsidRPr="005014B7">
        <w:rPr>
          <w:rFonts w:cs="Verdana"/>
          <w:sz w:val="24"/>
          <w:szCs w:val="24"/>
        </w:rPr>
        <w:t>The first step to mastering credit basics is to access and review your credit report. A credit report provides information about you, your ability to pay your past debts, and assigns you a credit score.</w:t>
      </w:r>
      <w:r w:rsidRPr="005014B7">
        <w:rPr>
          <w:rFonts w:cs="Verdana"/>
          <w:color w:val="000000"/>
          <w:sz w:val="24"/>
          <w:szCs w:val="24"/>
        </w:rPr>
        <w:t xml:space="preserve"> Upon request, each of the three credit reporting agencies (Equifax, Experian and </w:t>
      </w:r>
      <w:proofErr w:type="spellStart"/>
      <w:r w:rsidRPr="005014B7">
        <w:rPr>
          <w:rFonts w:cs="Verdana"/>
          <w:color w:val="000000"/>
          <w:sz w:val="24"/>
          <w:szCs w:val="24"/>
        </w:rPr>
        <w:t>TransUnion</w:t>
      </w:r>
      <w:proofErr w:type="spellEnd"/>
      <w:r w:rsidRPr="005014B7">
        <w:rPr>
          <w:rFonts w:cs="Verdana"/>
          <w:color w:val="000000"/>
          <w:sz w:val="24"/>
          <w:szCs w:val="24"/>
        </w:rPr>
        <w:t xml:space="preserve">) must provide you with a free copy of your credit report every 12 months. A central </w:t>
      </w:r>
      <w:r w:rsidR="00F54B40" w:rsidRPr="005014B7">
        <w:rPr>
          <w:rFonts w:cs="Verdana"/>
          <w:color w:val="000000"/>
          <w:sz w:val="24"/>
          <w:szCs w:val="24"/>
        </w:rPr>
        <w:t>w</w:t>
      </w:r>
      <w:r w:rsidRPr="005014B7">
        <w:rPr>
          <w:rFonts w:cs="Verdana"/>
          <w:color w:val="000000"/>
          <w:sz w:val="24"/>
          <w:szCs w:val="24"/>
        </w:rPr>
        <w:t>ebsite handles requests for the three agencies and you may order your reports online, by phone</w:t>
      </w:r>
      <w:r w:rsidR="005014B7">
        <w:rPr>
          <w:rFonts w:cs="Verdana"/>
          <w:color w:val="000000"/>
          <w:sz w:val="24"/>
          <w:szCs w:val="24"/>
        </w:rPr>
        <w:t>,</w:t>
      </w:r>
      <w:r w:rsidRPr="005014B7">
        <w:rPr>
          <w:rFonts w:cs="Verdana"/>
          <w:color w:val="000000"/>
          <w:sz w:val="24"/>
          <w:szCs w:val="24"/>
        </w:rPr>
        <w:t xml:space="preserve"> or by mail. </w:t>
      </w:r>
      <w:r w:rsidR="00F54B40" w:rsidRPr="005014B7">
        <w:rPr>
          <w:rFonts w:cs="Verdana"/>
          <w:color w:val="000000"/>
          <w:sz w:val="24"/>
          <w:szCs w:val="24"/>
        </w:rPr>
        <w:t>W</w:t>
      </w:r>
      <w:r w:rsidRPr="005014B7">
        <w:rPr>
          <w:rFonts w:cs="Verdana"/>
          <w:color w:val="000000"/>
          <w:sz w:val="24"/>
          <w:szCs w:val="24"/>
        </w:rPr>
        <w:t xml:space="preserve">hile you can obtain a copy of your credit report for free, you will have to pay a small fee for the actual score. The contact information for the </w:t>
      </w:r>
      <w:r w:rsidR="00E50A3B" w:rsidRPr="005014B7">
        <w:rPr>
          <w:rFonts w:cs="Verdana"/>
          <w:color w:val="000000"/>
          <w:sz w:val="24"/>
          <w:szCs w:val="24"/>
        </w:rPr>
        <w:t>w</w:t>
      </w:r>
      <w:r w:rsidRPr="005014B7">
        <w:rPr>
          <w:rFonts w:cs="Verdana"/>
          <w:color w:val="000000"/>
          <w:sz w:val="24"/>
          <w:szCs w:val="24"/>
        </w:rPr>
        <w:t xml:space="preserve">ebsite and three credit reporting agencies is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C08FB" w:rsidTr="002C08FB">
        <w:trPr>
          <w:trHeight w:val="481"/>
        </w:trPr>
        <w:tc>
          <w:tcPr>
            <w:tcW w:w="5508" w:type="dxa"/>
          </w:tcPr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  <w:r w:rsidRPr="005014B7">
              <w:rPr>
                <w:rFonts w:cs="Verdana,Bold"/>
                <w:b/>
                <w:bCs/>
                <w:color w:val="984806" w:themeColor="accent6" w:themeShade="80"/>
                <w:sz w:val="24"/>
                <w:szCs w:val="24"/>
              </w:rPr>
              <w:t>Equifax: 1-800-525-6285; www.equifax.com</w:t>
            </w:r>
          </w:p>
        </w:tc>
        <w:tc>
          <w:tcPr>
            <w:tcW w:w="5508" w:type="dxa"/>
            <w:vMerge w:val="restart"/>
          </w:tcPr>
          <w:p w:rsidR="002C08FB" w:rsidRPr="005014B7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</w:pPr>
            <w:r w:rsidRPr="005014B7"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  <w:t>Annual Credit Report Request Service</w:t>
            </w:r>
          </w:p>
          <w:p w:rsidR="002C08FB" w:rsidRPr="005014B7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</w:pPr>
            <w:r w:rsidRPr="005014B7"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  <w:t>P.O. Box 105281</w:t>
            </w:r>
          </w:p>
          <w:p w:rsidR="002C08FB" w:rsidRPr="005014B7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</w:pPr>
            <w:r w:rsidRPr="005014B7"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  <w:t>Atlanta, GA 30348-5281</w:t>
            </w:r>
          </w:p>
          <w:p w:rsidR="002C08FB" w:rsidRPr="005014B7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</w:pPr>
            <w:r w:rsidRPr="005014B7"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  <w:t>1-877-322-8228</w:t>
            </w:r>
          </w:p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  <w:r w:rsidRPr="005014B7">
              <w:rPr>
                <w:rFonts w:cs="Verdana"/>
                <w:b/>
                <w:color w:val="984806" w:themeColor="accent6" w:themeShade="80"/>
                <w:sz w:val="24"/>
                <w:szCs w:val="24"/>
              </w:rPr>
              <w:t>www.annualcreditreport.com</w:t>
            </w:r>
          </w:p>
        </w:tc>
      </w:tr>
      <w:tr w:rsidR="002C08FB" w:rsidTr="002C08FB">
        <w:trPr>
          <w:trHeight w:val="482"/>
        </w:trPr>
        <w:tc>
          <w:tcPr>
            <w:tcW w:w="5508" w:type="dxa"/>
          </w:tcPr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  <w:r>
              <w:rPr>
                <w:rFonts w:cs="Verdana,Bold"/>
                <w:b/>
                <w:bCs/>
                <w:color w:val="984806" w:themeColor="accent6" w:themeShade="80"/>
                <w:sz w:val="24"/>
                <w:szCs w:val="24"/>
              </w:rPr>
              <w:t>Experian: 1-888-397-3742</w:t>
            </w:r>
            <w:r w:rsidRPr="005014B7">
              <w:rPr>
                <w:rFonts w:cs="Verdana,Bold"/>
                <w:b/>
                <w:bCs/>
                <w:color w:val="984806" w:themeColor="accent6" w:themeShade="80"/>
                <w:sz w:val="24"/>
                <w:szCs w:val="24"/>
              </w:rPr>
              <w:t>; www.experian.com</w:t>
            </w:r>
          </w:p>
        </w:tc>
        <w:tc>
          <w:tcPr>
            <w:tcW w:w="5508" w:type="dxa"/>
            <w:vMerge/>
          </w:tcPr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</w:p>
        </w:tc>
      </w:tr>
      <w:tr w:rsidR="002C08FB" w:rsidTr="002C08FB">
        <w:trPr>
          <w:trHeight w:val="482"/>
        </w:trPr>
        <w:tc>
          <w:tcPr>
            <w:tcW w:w="5508" w:type="dxa"/>
          </w:tcPr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  <w:proofErr w:type="spellStart"/>
            <w:r w:rsidRPr="005014B7">
              <w:rPr>
                <w:rFonts w:cs="Verdana,Bold"/>
                <w:b/>
                <w:bCs/>
                <w:color w:val="984806" w:themeColor="accent6" w:themeShade="80"/>
                <w:sz w:val="24"/>
                <w:szCs w:val="24"/>
              </w:rPr>
              <w:t>TransUnion</w:t>
            </w:r>
            <w:proofErr w:type="spellEnd"/>
            <w:r w:rsidRPr="005014B7">
              <w:rPr>
                <w:rFonts w:cs="Verdana,Bold"/>
                <w:b/>
                <w:bCs/>
                <w:color w:val="984806" w:themeColor="accent6" w:themeShade="80"/>
                <w:sz w:val="24"/>
                <w:szCs w:val="24"/>
              </w:rPr>
              <w:t>: 1-800-680-7289; www.transunion.com</w:t>
            </w:r>
          </w:p>
        </w:tc>
        <w:tc>
          <w:tcPr>
            <w:tcW w:w="5508" w:type="dxa"/>
            <w:vMerge/>
          </w:tcPr>
          <w:p w:rsidR="002C08FB" w:rsidRDefault="002C08FB" w:rsidP="002C08FB">
            <w:pPr>
              <w:autoSpaceDE w:val="0"/>
              <w:autoSpaceDN w:val="0"/>
              <w:adjustRightInd w:val="0"/>
              <w:jc w:val="left"/>
              <w:rPr>
                <w:rFonts w:cs="Verdana"/>
                <w:color w:val="000000"/>
                <w:sz w:val="24"/>
                <w:szCs w:val="24"/>
              </w:rPr>
            </w:pPr>
          </w:p>
        </w:tc>
      </w:tr>
    </w:tbl>
    <w:p w:rsidR="00F902D5" w:rsidRPr="005014B7" w:rsidRDefault="002C08FB" w:rsidP="002C0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Verdana,Bold"/>
          <w:b/>
          <w:bCs/>
          <w:color w:val="984806" w:themeColor="accent6" w:themeShade="80"/>
          <w:sz w:val="24"/>
          <w:szCs w:val="24"/>
        </w:rPr>
      </w:pPr>
      <w:r w:rsidRPr="002C08FB">
        <w:rPr>
          <w:rFonts w:cs="Verdana"/>
          <w:color w:val="000000"/>
          <w:sz w:val="24"/>
          <w:szCs w:val="24"/>
          <w:u w:val="single"/>
        </w:rPr>
        <w:t>Note</w:t>
      </w:r>
      <w:r w:rsidRPr="005014B7">
        <w:rPr>
          <w:rFonts w:cs="Verdana"/>
          <w:color w:val="000000"/>
          <w:sz w:val="24"/>
          <w:szCs w:val="24"/>
        </w:rPr>
        <w:t>: Be aware</w:t>
      </w:r>
      <w:r>
        <w:rPr>
          <w:rFonts w:cs="Verdana"/>
          <w:color w:val="000000"/>
          <w:sz w:val="24"/>
          <w:szCs w:val="24"/>
        </w:rPr>
        <w:t>,</w:t>
      </w:r>
      <w:r w:rsidRPr="005014B7">
        <w:rPr>
          <w:rFonts w:cs="Verdana"/>
          <w:color w:val="000000"/>
          <w:sz w:val="24"/>
          <w:szCs w:val="24"/>
        </w:rPr>
        <w:t xml:space="preserve"> </w:t>
      </w:r>
      <w:r w:rsidRPr="002C08FB">
        <w:rPr>
          <w:rFonts w:cs="Verdana"/>
          <w:b/>
          <w:color w:val="000000"/>
          <w:sz w:val="24"/>
          <w:szCs w:val="24"/>
        </w:rPr>
        <w:t>Annual Credit Report Request Service</w:t>
      </w:r>
      <w:r w:rsidRPr="005014B7">
        <w:rPr>
          <w:rFonts w:cs="Verdana"/>
          <w:color w:val="000000"/>
          <w:sz w:val="24"/>
          <w:szCs w:val="24"/>
        </w:rPr>
        <w:t xml:space="preserve"> is the only official way to access your yearly free credit report. Other websites and services</w:t>
      </w:r>
      <w:r>
        <w:rPr>
          <w:rFonts w:cs="Verdana"/>
          <w:color w:val="000000"/>
          <w:sz w:val="24"/>
          <w:szCs w:val="24"/>
        </w:rPr>
        <w:t xml:space="preserve"> are</w:t>
      </w:r>
      <w:r w:rsidRPr="005014B7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>private</w:t>
      </w:r>
      <w:r w:rsidRPr="005014B7">
        <w:rPr>
          <w:rFonts w:cs="Verdana"/>
          <w:color w:val="000000"/>
          <w:sz w:val="24"/>
          <w:szCs w:val="24"/>
        </w:rPr>
        <w:t xml:space="preserve"> businesses and </w:t>
      </w:r>
      <w:r>
        <w:rPr>
          <w:rFonts w:cs="Verdana"/>
          <w:color w:val="000000"/>
          <w:sz w:val="24"/>
          <w:szCs w:val="24"/>
        </w:rPr>
        <w:t>may</w:t>
      </w:r>
      <w:r w:rsidRPr="005014B7">
        <w:rPr>
          <w:rFonts w:cs="Verdana"/>
          <w:color w:val="000000"/>
          <w:sz w:val="24"/>
          <w:szCs w:val="24"/>
        </w:rPr>
        <w:t xml:space="preserve"> charge fees.</w:t>
      </w:r>
    </w:p>
    <w:p w:rsidR="002C08FB" w:rsidRPr="002C08FB" w:rsidRDefault="002C08FB" w:rsidP="00F902D5">
      <w:pPr>
        <w:autoSpaceDE w:val="0"/>
        <w:autoSpaceDN w:val="0"/>
        <w:adjustRightInd w:val="0"/>
        <w:jc w:val="left"/>
        <w:rPr>
          <w:rFonts w:cs="Verdana,Bold"/>
          <w:b/>
          <w:bCs/>
          <w:color w:val="000000" w:themeColor="text1"/>
          <w:sz w:val="8"/>
          <w:szCs w:val="8"/>
        </w:rPr>
      </w:pPr>
    </w:p>
    <w:p w:rsidR="00F902D5" w:rsidRPr="005014B7" w:rsidRDefault="00F902D5" w:rsidP="00F902D5">
      <w:pPr>
        <w:autoSpaceDE w:val="0"/>
        <w:autoSpaceDN w:val="0"/>
        <w:adjustRightInd w:val="0"/>
        <w:jc w:val="left"/>
        <w:rPr>
          <w:rFonts w:cs="Verdana,Bold"/>
          <w:b/>
          <w:bCs/>
          <w:color w:val="000000" w:themeColor="text1"/>
          <w:sz w:val="24"/>
          <w:szCs w:val="24"/>
        </w:rPr>
      </w:pPr>
      <w:r w:rsidRPr="005014B7">
        <w:rPr>
          <w:rFonts w:cs="Verdana,Bold"/>
          <w:b/>
          <w:bCs/>
          <w:color w:val="000000" w:themeColor="text1"/>
          <w:sz w:val="24"/>
          <w:szCs w:val="24"/>
        </w:rPr>
        <w:t>Why is good credit important?</w:t>
      </w:r>
    </w:p>
    <w:p w:rsidR="00F902D5" w:rsidRPr="005014B7" w:rsidRDefault="00F902D5" w:rsidP="00F902D5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  <w:szCs w:val="24"/>
        </w:rPr>
      </w:pPr>
      <w:r w:rsidRPr="005014B7">
        <w:rPr>
          <w:rFonts w:cs="Verdana"/>
          <w:color w:val="000000"/>
          <w:sz w:val="24"/>
          <w:szCs w:val="24"/>
        </w:rPr>
        <w:t>Good credit allows you to obtain loans and credit cards with the best interest rates</w:t>
      </w:r>
      <w:r w:rsidR="00402737" w:rsidRPr="005014B7">
        <w:rPr>
          <w:rFonts w:cs="Verdana"/>
          <w:color w:val="000000"/>
          <w:sz w:val="24"/>
          <w:szCs w:val="24"/>
        </w:rPr>
        <w:t xml:space="preserve">, </w:t>
      </w:r>
      <w:r w:rsidR="005014B7" w:rsidRPr="005014B7">
        <w:rPr>
          <w:rFonts w:cs="Verdana"/>
          <w:color w:val="000000"/>
          <w:sz w:val="24"/>
          <w:szCs w:val="24"/>
        </w:rPr>
        <w:t xml:space="preserve">and is also looked at by </w:t>
      </w:r>
      <w:r w:rsidR="00402737" w:rsidRPr="005014B7">
        <w:rPr>
          <w:rFonts w:cs="Verdana"/>
          <w:color w:val="000000"/>
          <w:sz w:val="24"/>
          <w:szCs w:val="24"/>
        </w:rPr>
        <w:t xml:space="preserve">potential landlords and </w:t>
      </w:r>
      <w:r w:rsidR="005014B7" w:rsidRPr="005014B7">
        <w:rPr>
          <w:rFonts w:cs="Verdana"/>
          <w:color w:val="000000"/>
          <w:sz w:val="24"/>
          <w:szCs w:val="24"/>
        </w:rPr>
        <w:t xml:space="preserve">employers. </w:t>
      </w:r>
    </w:p>
    <w:p w:rsidR="00F902D5" w:rsidRPr="002C08FB" w:rsidRDefault="00F902D5" w:rsidP="00F902D5">
      <w:pPr>
        <w:autoSpaceDE w:val="0"/>
        <w:autoSpaceDN w:val="0"/>
        <w:adjustRightInd w:val="0"/>
        <w:jc w:val="left"/>
        <w:rPr>
          <w:rFonts w:cs="Verdana,Bold"/>
          <w:b/>
          <w:bCs/>
          <w:color w:val="0097D7"/>
          <w:sz w:val="8"/>
          <w:szCs w:val="8"/>
        </w:rPr>
      </w:pPr>
    </w:p>
    <w:p w:rsidR="00F902D5" w:rsidRPr="005014B7" w:rsidRDefault="00F902D5" w:rsidP="00F902D5">
      <w:pPr>
        <w:autoSpaceDE w:val="0"/>
        <w:autoSpaceDN w:val="0"/>
        <w:adjustRightInd w:val="0"/>
        <w:jc w:val="left"/>
        <w:rPr>
          <w:rFonts w:cs="Verdana,Bold"/>
          <w:b/>
          <w:bCs/>
          <w:color w:val="000000" w:themeColor="text1"/>
          <w:sz w:val="24"/>
          <w:szCs w:val="24"/>
        </w:rPr>
      </w:pPr>
      <w:r w:rsidRPr="005014B7">
        <w:rPr>
          <w:rFonts w:cs="Verdana,Bold"/>
          <w:b/>
          <w:bCs/>
          <w:color w:val="000000" w:themeColor="text1"/>
          <w:sz w:val="24"/>
          <w:szCs w:val="24"/>
        </w:rPr>
        <w:t>Does checking your credit report lower your credit rating?</w:t>
      </w:r>
    </w:p>
    <w:p w:rsidR="001F2301" w:rsidRPr="005014B7" w:rsidRDefault="00F902D5" w:rsidP="00F902D5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  <w:szCs w:val="24"/>
        </w:rPr>
      </w:pPr>
      <w:r w:rsidRPr="005014B7">
        <w:rPr>
          <w:rFonts w:cs="Verdana"/>
          <w:color w:val="000000"/>
          <w:sz w:val="24"/>
          <w:szCs w:val="24"/>
        </w:rPr>
        <w:t xml:space="preserve">Checking your credit score does not hurt your credit rating. The credit scoring system is set up so that self-inquiries do not </w:t>
      </w:r>
      <w:r w:rsidR="00FA25E8" w:rsidRPr="005014B7">
        <w:rPr>
          <w:rFonts w:cs="Verdana"/>
          <w:color w:val="000000"/>
          <w:sz w:val="24"/>
          <w:szCs w:val="24"/>
        </w:rPr>
        <w:t>count</w:t>
      </w:r>
      <w:r w:rsidRPr="005014B7">
        <w:rPr>
          <w:rFonts w:cs="Verdana"/>
          <w:color w:val="000000"/>
          <w:sz w:val="24"/>
          <w:szCs w:val="24"/>
        </w:rPr>
        <w:t xml:space="preserve"> towards lowering or raising one's credit score. In addition, credit inquiries made by credit card companies </w:t>
      </w:r>
      <w:bookmarkStart w:id="0" w:name="_GoBack"/>
      <w:bookmarkEnd w:id="0"/>
      <w:r w:rsidRPr="005014B7">
        <w:rPr>
          <w:rFonts w:cs="Verdana"/>
          <w:color w:val="000000"/>
          <w:sz w:val="24"/>
          <w:szCs w:val="24"/>
        </w:rPr>
        <w:t xml:space="preserve">or mortgage lenders checking your credit report to send you pre-approved offers do not count either. However, if you respond to those offers and the credit card company or mortgage lender pulls your credit report to do a more thorough investigation, it does count. It also counts every time you apply for any sort of financing, </w:t>
      </w:r>
      <w:r w:rsidR="00FA25E8" w:rsidRPr="005014B7">
        <w:rPr>
          <w:rFonts w:cs="Verdana"/>
          <w:color w:val="000000"/>
          <w:sz w:val="24"/>
          <w:szCs w:val="24"/>
        </w:rPr>
        <w:t>housing, insurance</w:t>
      </w:r>
      <w:r w:rsidRPr="005014B7">
        <w:rPr>
          <w:rFonts w:cs="Verdana"/>
          <w:color w:val="000000"/>
          <w:sz w:val="24"/>
          <w:szCs w:val="24"/>
        </w:rPr>
        <w:t xml:space="preserve">, etc., and your credit report is pulled and can lower your score by five points. </w:t>
      </w:r>
    </w:p>
    <w:p w:rsidR="00FA25E8" w:rsidRPr="002C08FB" w:rsidRDefault="00FA25E8" w:rsidP="00F902D5">
      <w:pPr>
        <w:autoSpaceDE w:val="0"/>
        <w:autoSpaceDN w:val="0"/>
        <w:adjustRightInd w:val="0"/>
        <w:jc w:val="left"/>
        <w:rPr>
          <w:rFonts w:cs="Verdana"/>
          <w:color w:val="000000"/>
          <w:sz w:val="8"/>
          <w:szCs w:val="8"/>
        </w:rPr>
      </w:pPr>
    </w:p>
    <w:p w:rsidR="00FA25E8" w:rsidRPr="005014B7" w:rsidRDefault="00FA25E8" w:rsidP="00FA25E8">
      <w:pPr>
        <w:autoSpaceDE w:val="0"/>
        <w:autoSpaceDN w:val="0"/>
        <w:adjustRightInd w:val="0"/>
        <w:jc w:val="left"/>
        <w:rPr>
          <w:rFonts w:cs="Verdana,Bold"/>
          <w:b/>
          <w:bCs/>
          <w:color w:val="000000" w:themeColor="text1"/>
          <w:sz w:val="24"/>
          <w:szCs w:val="24"/>
        </w:rPr>
      </w:pPr>
      <w:r w:rsidRPr="005014B7">
        <w:rPr>
          <w:rFonts w:cs="Verdana,Bold"/>
          <w:b/>
          <w:bCs/>
          <w:color w:val="000000" w:themeColor="text1"/>
          <w:sz w:val="24"/>
          <w:szCs w:val="24"/>
        </w:rPr>
        <w:t>Where can I get help to improve my credit?</w:t>
      </w:r>
    </w:p>
    <w:p w:rsidR="00FA25E8" w:rsidRPr="004D1D86" w:rsidRDefault="00FA25E8" w:rsidP="00FA25E8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  <w:szCs w:val="24"/>
        </w:rPr>
      </w:pPr>
      <w:r w:rsidRPr="005014B7">
        <w:rPr>
          <w:rFonts w:cs="Verdana"/>
          <w:color w:val="000000"/>
          <w:sz w:val="24"/>
          <w:szCs w:val="24"/>
        </w:rPr>
        <w:t>Work with a reputable, not-for-profit, community-based credit counseling</w:t>
      </w:r>
      <w:r w:rsidR="004D1D86">
        <w:rPr>
          <w:rFonts w:cs="Verdana"/>
          <w:color w:val="000000"/>
          <w:sz w:val="24"/>
          <w:szCs w:val="24"/>
        </w:rPr>
        <w:t xml:space="preserve"> </w:t>
      </w:r>
      <w:r w:rsidRPr="005014B7">
        <w:rPr>
          <w:rFonts w:cs="Verdana"/>
          <w:color w:val="000000"/>
          <w:sz w:val="24"/>
          <w:szCs w:val="24"/>
        </w:rPr>
        <w:t xml:space="preserve">organization that provides one-on-one assistance; contact the National Foundation for Credit Counseling to find a provider in your area at </w:t>
      </w:r>
      <w:hyperlink r:id="rId8" w:history="1">
        <w:r w:rsidRPr="005014B7">
          <w:rPr>
            <w:rStyle w:val="Hyperlink"/>
            <w:rFonts w:cs="Verdana"/>
            <w:sz w:val="24"/>
            <w:szCs w:val="24"/>
          </w:rPr>
          <w:t>www.nfcc.org</w:t>
        </w:r>
      </w:hyperlink>
      <w:r w:rsidRPr="005014B7">
        <w:rPr>
          <w:rFonts w:cs="Verdana"/>
          <w:color w:val="000000"/>
          <w:sz w:val="24"/>
          <w:szCs w:val="24"/>
        </w:rPr>
        <w:t>. Don’t confuse expensive credit-repair clinics with legitimate nonprofit credit counseling organizations and be careful of organizations that charge upfront fees, make unrealistic promises</w:t>
      </w:r>
      <w:r w:rsidR="00DF4EE5" w:rsidRPr="005014B7">
        <w:rPr>
          <w:rFonts w:cs="Verdana"/>
          <w:color w:val="000000"/>
          <w:sz w:val="24"/>
          <w:szCs w:val="24"/>
        </w:rPr>
        <w:t>,</w:t>
      </w:r>
      <w:r w:rsidRPr="005014B7">
        <w:rPr>
          <w:rFonts w:cs="Verdana"/>
          <w:color w:val="000000"/>
          <w:sz w:val="24"/>
          <w:szCs w:val="24"/>
        </w:rPr>
        <w:t xml:space="preserve"> or lack accreditation credentials. Using non-reputable organizations can actually harm your credit. This topic </w:t>
      </w:r>
      <w:r w:rsidR="00DF4EE5" w:rsidRPr="005014B7">
        <w:rPr>
          <w:rFonts w:cs="Verdana"/>
          <w:color w:val="000000"/>
          <w:sz w:val="24"/>
          <w:szCs w:val="24"/>
        </w:rPr>
        <w:t xml:space="preserve">is discussed further in the Economic Justice Module </w:t>
      </w:r>
      <w:r w:rsidR="004D1D86">
        <w:rPr>
          <w:rFonts w:cs="Verdana"/>
          <w:color w:val="000000"/>
          <w:sz w:val="24"/>
          <w:szCs w:val="24"/>
        </w:rPr>
        <w:t>3</w:t>
      </w:r>
      <w:r w:rsidR="00DF4EE5" w:rsidRPr="005014B7">
        <w:rPr>
          <w:rFonts w:cs="Verdana"/>
          <w:color w:val="000000"/>
          <w:sz w:val="24"/>
          <w:szCs w:val="24"/>
        </w:rPr>
        <w:t xml:space="preserve">. To access that, please visit: </w:t>
      </w:r>
      <w:hyperlink r:id="rId9" w:history="1">
        <w:r w:rsidR="004D1D86" w:rsidRPr="004D1D86">
          <w:rPr>
            <w:rStyle w:val="Hyperlink"/>
            <w:sz w:val="24"/>
            <w:szCs w:val="24"/>
          </w:rPr>
          <w:t>http://nnedv.org/resources/ejresources/ejcurriculum.html</w:t>
        </w:r>
      </w:hyperlink>
      <w:r w:rsidR="004D1D86" w:rsidRPr="004D1D86">
        <w:rPr>
          <w:sz w:val="24"/>
          <w:szCs w:val="24"/>
        </w:rPr>
        <w:t xml:space="preserve">. </w:t>
      </w:r>
    </w:p>
    <w:sectPr w:rsidR="00FA25E8" w:rsidRPr="004D1D86" w:rsidSect="00FA25E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86" w:rsidRDefault="004D1D86" w:rsidP="004D1D86">
      <w:r>
        <w:separator/>
      </w:r>
    </w:p>
  </w:endnote>
  <w:endnote w:type="continuationSeparator" w:id="0">
    <w:p w:rsidR="004D1D86" w:rsidRDefault="004D1D86" w:rsidP="004D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FB" w:rsidRPr="00040F48" w:rsidRDefault="002C08FB" w:rsidP="002C08FB">
    <w:pPr>
      <w:jc w:val="left"/>
      <w:rPr>
        <w:sz w:val="24"/>
        <w:szCs w:val="24"/>
      </w:rPr>
    </w:pPr>
    <w:r w:rsidRPr="0039525F">
      <w:rPr>
        <w:sz w:val="24"/>
        <w:szCs w:val="24"/>
      </w:rPr>
      <w:t>@NNEDV 2013</w:t>
    </w:r>
    <w:r w:rsidRPr="0039525F">
      <w:rPr>
        <w:sz w:val="24"/>
        <w:szCs w:val="24"/>
      </w:rPr>
      <w:br/>
      <w:t xml:space="preserve">Adapted in part from the Moving Ahead Through Financial Management Curriculum. For more information, please see </w:t>
    </w:r>
    <w:hyperlink r:id="rId1" w:history="1">
      <w:r w:rsidRPr="0039525F">
        <w:rPr>
          <w:rStyle w:val="Hyperlink"/>
          <w:sz w:val="24"/>
          <w:szCs w:val="24"/>
        </w:rPr>
        <w:t>http://nnedv.org/resources/ejresources/ejcurriculum.html</w:t>
      </w:r>
    </w:hyperlink>
  </w:p>
  <w:p w:rsidR="002C08FB" w:rsidRDefault="002C0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86" w:rsidRDefault="004D1D86" w:rsidP="004D1D86">
      <w:r>
        <w:separator/>
      </w:r>
    </w:p>
  </w:footnote>
  <w:footnote w:type="continuationSeparator" w:id="0">
    <w:p w:rsidR="004D1D86" w:rsidRDefault="004D1D86" w:rsidP="004D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86" w:rsidRDefault="004D1D86" w:rsidP="004D1D86">
    <w:pPr>
      <w:pStyle w:val="Header"/>
      <w:jc w:val="left"/>
    </w:pPr>
    <w:r w:rsidRPr="005014B7">
      <w:rPr>
        <w:rFonts w:cs="Verdana"/>
        <w:b/>
        <w:noProof/>
        <w:sz w:val="24"/>
        <w:szCs w:val="24"/>
      </w:rPr>
      <w:drawing>
        <wp:inline distT="0" distB="0" distL="0" distR="0" wp14:anchorId="4367CA97" wp14:editId="7FD3CBFB">
          <wp:extent cx="1552755" cy="721821"/>
          <wp:effectExtent l="0" t="0" r="0" b="2540"/>
          <wp:docPr id="1" name="Picture 1" descr="O:\Logo_BrandingMaterials\Logos\NNEDV_logo_name&amp;acronym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_BrandingMaterials\Logos\NNEDV_logo_name&amp;acronym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85" cy="72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E9C"/>
    <w:multiLevelType w:val="hybridMultilevel"/>
    <w:tmpl w:val="C7E2D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F45F60"/>
    <w:multiLevelType w:val="hybridMultilevel"/>
    <w:tmpl w:val="841CBA18"/>
    <w:lvl w:ilvl="0" w:tplc="A29809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1657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CD8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46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075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C4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28E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62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14FC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504F89"/>
    <w:multiLevelType w:val="hybridMultilevel"/>
    <w:tmpl w:val="F22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649A9"/>
    <w:multiLevelType w:val="hybridMultilevel"/>
    <w:tmpl w:val="73C2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A35B0"/>
    <w:multiLevelType w:val="hybridMultilevel"/>
    <w:tmpl w:val="983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F"/>
    <w:rsid w:val="001F2301"/>
    <w:rsid w:val="002C08FB"/>
    <w:rsid w:val="00375362"/>
    <w:rsid w:val="00397845"/>
    <w:rsid w:val="00402737"/>
    <w:rsid w:val="004D1D86"/>
    <w:rsid w:val="005014B7"/>
    <w:rsid w:val="006D4358"/>
    <w:rsid w:val="00A0731F"/>
    <w:rsid w:val="00D02F56"/>
    <w:rsid w:val="00D25C77"/>
    <w:rsid w:val="00DD11FD"/>
    <w:rsid w:val="00DF4EE5"/>
    <w:rsid w:val="00E50A3B"/>
    <w:rsid w:val="00F54B40"/>
    <w:rsid w:val="00F902D5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86"/>
  </w:style>
  <w:style w:type="paragraph" w:styleId="Footer">
    <w:name w:val="footer"/>
    <w:basedOn w:val="Normal"/>
    <w:link w:val="FooterChar"/>
    <w:uiPriority w:val="99"/>
    <w:unhideWhenUsed/>
    <w:rsid w:val="004D1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3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54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B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86"/>
  </w:style>
  <w:style w:type="paragraph" w:styleId="Footer">
    <w:name w:val="footer"/>
    <w:basedOn w:val="Normal"/>
    <w:link w:val="FooterChar"/>
    <w:uiPriority w:val="99"/>
    <w:unhideWhenUsed/>
    <w:rsid w:val="004D1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9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c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nedv.org/resources/ejresources/ejcurriculum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nedv.org/resources/ejresources/ejcurriculum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NNEDV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Pentico</dc:creator>
  <cp:lastModifiedBy>Kim Pentico</cp:lastModifiedBy>
  <cp:revision>4</cp:revision>
  <cp:lastPrinted>2013-08-27T20:01:00Z</cp:lastPrinted>
  <dcterms:created xsi:type="dcterms:W3CDTF">2013-06-14T20:56:00Z</dcterms:created>
  <dcterms:modified xsi:type="dcterms:W3CDTF">2013-08-27T20:01:00Z</dcterms:modified>
</cp:coreProperties>
</file>