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7423" w14:textId="77777777" w:rsidR="00F7427A" w:rsidRDefault="00F7427A">
      <w:pPr>
        <w:rPr>
          <w:color w:val="000000" w:themeColor="text1"/>
        </w:rPr>
      </w:pPr>
      <w:r>
        <w:rPr>
          <w:noProof/>
          <w:color w:val="000000" w:themeColor="text1"/>
        </w:rPr>
        <w:drawing>
          <wp:inline distT="0" distB="0" distL="0" distR="0" wp14:anchorId="5FD37B8A" wp14:editId="4F3735C6">
            <wp:extent cx="1423686" cy="786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EDV_logo_name&amp;acronym_color.eps"/>
                    <pic:cNvPicPr/>
                  </pic:nvPicPr>
                  <pic:blipFill>
                    <a:blip r:embed="rId4">
                      <a:extLst>
                        <a:ext uri="{28A0092B-C50C-407E-A947-70E740481C1C}">
                          <a14:useLocalDpi xmlns:a14="http://schemas.microsoft.com/office/drawing/2010/main" val="0"/>
                        </a:ext>
                      </a:extLst>
                    </a:blip>
                    <a:stretch>
                      <a:fillRect/>
                    </a:stretch>
                  </pic:blipFill>
                  <pic:spPr>
                    <a:xfrm>
                      <a:off x="0" y="0"/>
                      <a:ext cx="1445056" cy="798575"/>
                    </a:xfrm>
                    <a:prstGeom prst="rect">
                      <a:avLst/>
                    </a:prstGeom>
                  </pic:spPr>
                </pic:pic>
              </a:graphicData>
            </a:graphic>
          </wp:inline>
        </w:drawing>
      </w:r>
    </w:p>
    <w:p w14:paraId="754F40AC" w14:textId="041176E7" w:rsidR="00674B35" w:rsidRPr="00F7427A" w:rsidRDefault="00674B35">
      <w:pPr>
        <w:rPr>
          <w:color w:val="000000" w:themeColor="text1"/>
          <w:sz w:val="22"/>
          <w:szCs w:val="22"/>
        </w:rPr>
      </w:pPr>
      <w:r w:rsidRPr="00C80483">
        <w:rPr>
          <w:b/>
          <w:color w:val="000000" w:themeColor="text1"/>
          <w:sz w:val="22"/>
          <w:szCs w:val="22"/>
          <w:u w:val="single"/>
        </w:rPr>
        <w:t>Topic:</w:t>
      </w:r>
      <w:r w:rsidRPr="00F7427A">
        <w:rPr>
          <w:color w:val="000000" w:themeColor="text1"/>
          <w:sz w:val="22"/>
          <w:szCs w:val="22"/>
        </w:rPr>
        <w:t xml:space="preserve">   </w:t>
      </w:r>
      <w:r w:rsidR="00C67A93">
        <w:rPr>
          <w:color w:val="000000" w:themeColor="text1"/>
          <w:sz w:val="22"/>
          <w:szCs w:val="22"/>
        </w:rPr>
        <w:t>Strategic Planning</w:t>
      </w:r>
    </w:p>
    <w:p w14:paraId="7C70FE24" w14:textId="77777777" w:rsidR="00674B35" w:rsidRPr="00F7427A" w:rsidRDefault="00674B35">
      <w:pPr>
        <w:rPr>
          <w:sz w:val="22"/>
          <w:szCs w:val="22"/>
        </w:rPr>
      </w:pPr>
    </w:p>
    <w:p w14:paraId="15D2AE6E" w14:textId="4ADE004A" w:rsidR="00674B35" w:rsidRPr="00F7427A" w:rsidRDefault="00C80483">
      <w:pPr>
        <w:rPr>
          <w:sz w:val="22"/>
          <w:szCs w:val="22"/>
        </w:rPr>
      </w:pPr>
      <w:r w:rsidRPr="00C80483">
        <w:rPr>
          <w:b/>
          <w:sz w:val="22"/>
          <w:szCs w:val="22"/>
          <w:u w:val="single"/>
        </w:rPr>
        <w:t xml:space="preserve">List Serve </w:t>
      </w:r>
      <w:r w:rsidR="00674B35" w:rsidRPr="00C80483">
        <w:rPr>
          <w:b/>
          <w:sz w:val="22"/>
          <w:szCs w:val="22"/>
          <w:u w:val="single"/>
        </w:rPr>
        <w:t>Question:</w:t>
      </w:r>
      <w:r w:rsidR="00674B35" w:rsidRPr="00F7427A">
        <w:rPr>
          <w:sz w:val="22"/>
          <w:szCs w:val="22"/>
        </w:rPr>
        <w:t xml:space="preserve">  </w:t>
      </w:r>
      <w:r w:rsidR="00C67A93">
        <w:rPr>
          <w:sz w:val="22"/>
          <w:szCs w:val="22"/>
        </w:rPr>
        <w:t>What has your coalition done for Strategic Planning, and if you have used a specific consultant, who did you use?</w:t>
      </w:r>
    </w:p>
    <w:p w14:paraId="4E7A7579" w14:textId="77777777" w:rsidR="00674B35" w:rsidRPr="00F7427A" w:rsidRDefault="00674B35">
      <w:pPr>
        <w:rPr>
          <w:sz w:val="22"/>
          <w:szCs w:val="22"/>
        </w:rPr>
      </w:pPr>
    </w:p>
    <w:p w14:paraId="61853819" w14:textId="77777777" w:rsidR="00674B35" w:rsidRPr="006B64D7" w:rsidRDefault="00674B35">
      <w:pPr>
        <w:rPr>
          <w:sz w:val="22"/>
          <w:szCs w:val="22"/>
        </w:rPr>
      </w:pPr>
    </w:p>
    <w:p w14:paraId="4EC60BAB" w14:textId="77777777" w:rsidR="00674B35" w:rsidRPr="00856904" w:rsidRDefault="00674B35">
      <w:pPr>
        <w:rPr>
          <w:sz w:val="22"/>
          <w:szCs w:val="22"/>
        </w:rPr>
      </w:pPr>
    </w:p>
    <w:tbl>
      <w:tblPr>
        <w:tblStyle w:val="TableGrid"/>
        <w:tblW w:w="9535" w:type="dxa"/>
        <w:tblLook w:val="04A0" w:firstRow="1" w:lastRow="0" w:firstColumn="1" w:lastColumn="0" w:noHBand="0" w:noVBand="1"/>
      </w:tblPr>
      <w:tblGrid>
        <w:gridCol w:w="1956"/>
        <w:gridCol w:w="1195"/>
        <w:gridCol w:w="6384"/>
      </w:tblGrid>
      <w:tr w:rsidR="00D91FD6" w:rsidRPr="00856904" w14:paraId="05A94A2E" w14:textId="77777777" w:rsidTr="00A50816">
        <w:tc>
          <w:tcPr>
            <w:tcW w:w="1956" w:type="dxa"/>
            <w:shd w:val="clear" w:color="auto" w:fill="85B2F6" w:themeFill="background2" w:themeFillShade="E6"/>
          </w:tcPr>
          <w:p w14:paraId="1EBA913D" w14:textId="2DC369E0" w:rsidR="00D91FD6" w:rsidRPr="00856904" w:rsidRDefault="00D91FD6">
            <w:pPr>
              <w:rPr>
                <w:sz w:val="22"/>
                <w:szCs w:val="22"/>
              </w:rPr>
            </w:pPr>
            <w:r w:rsidRPr="00856904">
              <w:rPr>
                <w:sz w:val="22"/>
                <w:szCs w:val="22"/>
              </w:rPr>
              <w:t>State</w:t>
            </w:r>
          </w:p>
        </w:tc>
        <w:tc>
          <w:tcPr>
            <w:tcW w:w="1195" w:type="dxa"/>
            <w:shd w:val="clear" w:color="auto" w:fill="85B2F6" w:themeFill="background2" w:themeFillShade="E6"/>
          </w:tcPr>
          <w:p w14:paraId="74D87A91" w14:textId="77777777" w:rsidR="00D91FD6" w:rsidRDefault="00C67A93">
            <w:pPr>
              <w:rPr>
                <w:sz w:val="22"/>
                <w:szCs w:val="22"/>
              </w:rPr>
            </w:pPr>
            <w:r>
              <w:rPr>
                <w:sz w:val="22"/>
                <w:szCs w:val="22"/>
              </w:rPr>
              <w:t>Consultant</w:t>
            </w:r>
          </w:p>
          <w:p w14:paraId="76629D22" w14:textId="59C82F82" w:rsidR="00C67A93" w:rsidRPr="00856904" w:rsidRDefault="00C67A93">
            <w:pPr>
              <w:rPr>
                <w:sz w:val="22"/>
                <w:szCs w:val="22"/>
              </w:rPr>
            </w:pPr>
            <w:r>
              <w:rPr>
                <w:sz w:val="22"/>
                <w:szCs w:val="22"/>
              </w:rPr>
              <w:t>Used</w:t>
            </w:r>
          </w:p>
        </w:tc>
        <w:tc>
          <w:tcPr>
            <w:tcW w:w="6384" w:type="dxa"/>
            <w:shd w:val="clear" w:color="auto" w:fill="85B2F6" w:themeFill="background2" w:themeFillShade="E6"/>
          </w:tcPr>
          <w:p w14:paraId="40332899" w14:textId="77777777" w:rsidR="00D91FD6" w:rsidRPr="00856904" w:rsidRDefault="00D91FD6">
            <w:pPr>
              <w:rPr>
                <w:sz w:val="22"/>
                <w:szCs w:val="22"/>
              </w:rPr>
            </w:pPr>
            <w:r w:rsidRPr="00856904">
              <w:rPr>
                <w:sz w:val="22"/>
                <w:szCs w:val="22"/>
              </w:rPr>
              <w:t>Additional details</w:t>
            </w:r>
          </w:p>
        </w:tc>
      </w:tr>
      <w:tr w:rsidR="007640B4" w:rsidRPr="00856904" w14:paraId="12A55D0E" w14:textId="77777777" w:rsidTr="00A50816">
        <w:tc>
          <w:tcPr>
            <w:tcW w:w="1956" w:type="dxa"/>
          </w:tcPr>
          <w:p w14:paraId="4A8F7CF5" w14:textId="77777777" w:rsidR="007640B4" w:rsidRPr="00856904" w:rsidRDefault="007640B4" w:rsidP="007640B4">
            <w:pPr>
              <w:rPr>
                <w:sz w:val="22"/>
                <w:szCs w:val="22"/>
              </w:rPr>
            </w:pPr>
            <w:r w:rsidRPr="00856904">
              <w:rPr>
                <w:sz w:val="22"/>
                <w:szCs w:val="22"/>
              </w:rPr>
              <w:t>Alaska</w:t>
            </w:r>
          </w:p>
          <w:p w14:paraId="57AE3A84" w14:textId="22D97C47" w:rsidR="007640B4" w:rsidRPr="00856904" w:rsidRDefault="007640B4" w:rsidP="007640B4">
            <w:pPr>
              <w:rPr>
                <w:sz w:val="22"/>
                <w:szCs w:val="22"/>
              </w:rPr>
            </w:pPr>
            <w:r w:rsidRPr="00856904">
              <w:rPr>
                <w:sz w:val="22"/>
                <w:szCs w:val="22"/>
              </w:rPr>
              <w:t>Ann Rauch</w:t>
            </w:r>
            <w:r w:rsidR="005E0236">
              <w:rPr>
                <w:sz w:val="22"/>
                <w:szCs w:val="22"/>
              </w:rPr>
              <w:t xml:space="preserve"> FVPSA Admin</w:t>
            </w:r>
          </w:p>
        </w:tc>
        <w:tc>
          <w:tcPr>
            <w:tcW w:w="1195" w:type="dxa"/>
          </w:tcPr>
          <w:p w14:paraId="5207B630" w14:textId="77777777" w:rsidR="007640B4" w:rsidRPr="00856904" w:rsidRDefault="007640B4" w:rsidP="007640B4">
            <w:pPr>
              <w:rPr>
                <w:color w:val="000000" w:themeColor="text1"/>
                <w:sz w:val="22"/>
                <w:szCs w:val="22"/>
              </w:rPr>
            </w:pPr>
            <w:r w:rsidRPr="00856904">
              <w:rPr>
                <w:rStyle w:val="apple-converted-space"/>
                <w:color w:val="000000" w:themeColor="text1"/>
                <w:sz w:val="22"/>
                <w:szCs w:val="22"/>
              </w:rPr>
              <w:t> </w:t>
            </w:r>
            <w:r w:rsidRPr="00856904">
              <w:rPr>
                <w:color w:val="000000" w:themeColor="text1"/>
                <w:sz w:val="22"/>
                <w:szCs w:val="22"/>
              </w:rPr>
              <w:t>$8,905, 391</w:t>
            </w:r>
          </w:p>
          <w:p w14:paraId="0CE54048" w14:textId="77777777" w:rsidR="007640B4" w:rsidRPr="00856904" w:rsidRDefault="007640B4" w:rsidP="007640B4">
            <w:pPr>
              <w:rPr>
                <w:color w:val="000000" w:themeColor="text1"/>
                <w:sz w:val="22"/>
                <w:szCs w:val="22"/>
              </w:rPr>
            </w:pPr>
          </w:p>
        </w:tc>
        <w:tc>
          <w:tcPr>
            <w:tcW w:w="6384" w:type="dxa"/>
          </w:tcPr>
          <w:p w14:paraId="51DFD2C3" w14:textId="77777777" w:rsidR="007640B4" w:rsidRPr="00856904" w:rsidRDefault="007640B4" w:rsidP="007640B4">
            <w:pPr>
              <w:rPr>
                <w:color w:val="000000" w:themeColor="text1"/>
                <w:sz w:val="22"/>
                <w:szCs w:val="22"/>
              </w:rPr>
            </w:pPr>
            <w:r w:rsidRPr="00856904">
              <w:rPr>
                <w:color w:val="000000" w:themeColor="text1"/>
                <w:sz w:val="22"/>
                <w:szCs w:val="22"/>
              </w:rPr>
              <w:t>For both domestic and sexual violence programs</w:t>
            </w:r>
          </w:p>
        </w:tc>
      </w:tr>
      <w:tr w:rsidR="00E64918" w:rsidRPr="00856904" w14:paraId="622684BF" w14:textId="77777777" w:rsidTr="00A50816">
        <w:tc>
          <w:tcPr>
            <w:tcW w:w="1956" w:type="dxa"/>
          </w:tcPr>
          <w:p w14:paraId="33283F9C" w14:textId="70EE32B5" w:rsidR="00E64918" w:rsidRDefault="000D4F3F" w:rsidP="008938F4">
            <w:pPr>
              <w:rPr>
                <w:sz w:val="22"/>
                <w:szCs w:val="22"/>
              </w:rPr>
            </w:pPr>
            <w:r>
              <w:rPr>
                <w:sz w:val="22"/>
                <w:szCs w:val="22"/>
              </w:rPr>
              <w:t>Idaho</w:t>
            </w:r>
          </w:p>
        </w:tc>
        <w:tc>
          <w:tcPr>
            <w:tcW w:w="1195" w:type="dxa"/>
          </w:tcPr>
          <w:p w14:paraId="37AAB2F3" w14:textId="21EEA8E3" w:rsidR="00E64918" w:rsidRDefault="000D4F3F" w:rsidP="008938F4">
            <w:pPr>
              <w:rPr>
                <w:color w:val="000000" w:themeColor="text1"/>
                <w:sz w:val="22"/>
                <w:szCs w:val="22"/>
              </w:rPr>
            </w:pPr>
            <w:proofErr w:type="spellStart"/>
            <w:r>
              <w:rPr>
                <w:color w:val="000000" w:themeColor="text1"/>
                <w:sz w:val="22"/>
                <w:szCs w:val="22"/>
              </w:rPr>
              <w:t>Jara</w:t>
            </w:r>
            <w:proofErr w:type="spellEnd"/>
            <w:r>
              <w:rPr>
                <w:color w:val="000000" w:themeColor="text1"/>
                <w:sz w:val="22"/>
                <w:szCs w:val="22"/>
              </w:rPr>
              <w:t xml:space="preserve"> Dean Coffey</w:t>
            </w:r>
          </w:p>
          <w:p w14:paraId="2A1D06E2" w14:textId="135F4195" w:rsidR="000D4F3F" w:rsidRDefault="000D4F3F" w:rsidP="008938F4">
            <w:pPr>
              <w:rPr>
                <w:color w:val="000000" w:themeColor="text1"/>
                <w:sz w:val="22"/>
                <w:szCs w:val="22"/>
              </w:rPr>
            </w:pPr>
            <w:r>
              <w:rPr>
                <w:color w:val="000000" w:themeColor="text1"/>
                <w:sz w:val="22"/>
                <w:szCs w:val="22"/>
              </w:rPr>
              <w:t>(</w:t>
            </w:r>
            <w:proofErr w:type="spellStart"/>
            <w:r>
              <w:rPr>
                <w:color w:val="000000" w:themeColor="text1"/>
                <w:sz w:val="22"/>
                <w:szCs w:val="22"/>
              </w:rPr>
              <w:t>Luminere</w:t>
            </w:r>
            <w:proofErr w:type="spellEnd"/>
            <w:r>
              <w:rPr>
                <w:color w:val="000000" w:themeColor="text1"/>
                <w:sz w:val="22"/>
                <w:szCs w:val="22"/>
              </w:rPr>
              <w:t>)</w:t>
            </w:r>
          </w:p>
        </w:tc>
        <w:tc>
          <w:tcPr>
            <w:tcW w:w="6384" w:type="dxa"/>
          </w:tcPr>
          <w:p w14:paraId="1731B2BE" w14:textId="5F3CA94E" w:rsidR="000D4F3F" w:rsidRPr="000D4F3F" w:rsidRDefault="000D4F3F" w:rsidP="000D4F3F">
            <w:pPr>
              <w:rPr>
                <w:color w:val="000000"/>
                <w:sz w:val="22"/>
                <w:szCs w:val="22"/>
              </w:rPr>
            </w:pPr>
            <w:r w:rsidRPr="000D4F3F">
              <w:rPr>
                <w:rFonts w:cs="Arial"/>
                <w:color w:val="000000"/>
                <w:sz w:val="22"/>
                <w:szCs w:val="22"/>
              </w:rPr>
              <w:t xml:space="preserve">We </w:t>
            </w:r>
            <w:r w:rsidRPr="000D4F3F">
              <w:rPr>
                <w:rFonts w:cs="Arial"/>
                <w:color w:val="000000"/>
                <w:sz w:val="22"/>
                <w:szCs w:val="22"/>
              </w:rPr>
              <w:t>went through a theory of change of process beginning in 2014 and the board voted on it in 2015, field tested it, and board voted again in 2016 (after some opposition).   </w:t>
            </w:r>
          </w:p>
          <w:p w14:paraId="4DA394C9" w14:textId="417CF960" w:rsidR="000D4F3F" w:rsidRPr="000D4F3F" w:rsidRDefault="000D4F3F" w:rsidP="000D4F3F">
            <w:pPr>
              <w:rPr>
                <w:color w:val="000000"/>
                <w:sz w:val="22"/>
                <w:szCs w:val="22"/>
              </w:rPr>
            </w:pPr>
            <w:r w:rsidRPr="000D4F3F">
              <w:rPr>
                <w:rFonts w:cs="Arial"/>
                <w:color w:val="000000"/>
                <w:sz w:val="22"/>
                <w:szCs w:val="22"/>
              </w:rPr>
              <w:t xml:space="preserve">We had a working group of 5 staff, 5 board (with representation from urban and rural and tribal programs and external partners), and 2 external partners and worked closely with a consultant </w:t>
            </w:r>
            <w:proofErr w:type="spellStart"/>
            <w:r w:rsidRPr="000D4F3F">
              <w:rPr>
                <w:rFonts w:cs="Arial"/>
                <w:color w:val="000000"/>
                <w:sz w:val="22"/>
                <w:szCs w:val="22"/>
              </w:rPr>
              <w:t>Jara</w:t>
            </w:r>
            <w:proofErr w:type="spellEnd"/>
            <w:r w:rsidRPr="000D4F3F">
              <w:rPr>
                <w:rFonts w:cs="Arial"/>
                <w:color w:val="000000"/>
                <w:sz w:val="22"/>
                <w:szCs w:val="22"/>
              </w:rPr>
              <w:t xml:space="preserve"> Dean Coffey from Oakland (</w:t>
            </w:r>
            <w:proofErr w:type="spellStart"/>
            <w:r w:rsidRPr="000D4F3F">
              <w:rPr>
                <w:rFonts w:cs="Arial"/>
                <w:color w:val="000000"/>
                <w:sz w:val="22"/>
                <w:szCs w:val="22"/>
              </w:rPr>
              <w:t>Luminere</w:t>
            </w:r>
            <w:proofErr w:type="spellEnd"/>
            <w:r w:rsidRPr="000D4F3F">
              <w:rPr>
                <w:rFonts w:cs="Arial"/>
                <w:color w:val="000000"/>
                <w:sz w:val="22"/>
                <w:szCs w:val="22"/>
              </w:rPr>
              <w:t>).  It was a deep investment that transformed our organization.</w:t>
            </w:r>
          </w:p>
          <w:p w14:paraId="03D3ACFD" w14:textId="325B1839" w:rsidR="000D4F3F" w:rsidRPr="000D4F3F" w:rsidRDefault="000D4F3F" w:rsidP="000D4F3F">
            <w:pPr>
              <w:rPr>
                <w:color w:val="000000"/>
                <w:sz w:val="22"/>
                <w:szCs w:val="22"/>
              </w:rPr>
            </w:pPr>
            <w:r w:rsidRPr="000D4F3F">
              <w:rPr>
                <w:rFonts w:cs="Arial"/>
                <w:color w:val="000000"/>
                <w:sz w:val="22"/>
                <w:szCs w:val="22"/>
              </w:rPr>
              <w:t xml:space="preserve">We also worked on an operational language document and did a tour around the state to have programs learn about it through experiential activities. This is an internal document, and we shared it with program members and organizational members in small sections (small cards).  We also had a decision screen that we used for any decision (and still go back to) the first few years.  Some members loved it, some were fearful.  We have gained </w:t>
            </w:r>
            <w:proofErr w:type="gramStart"/>
            <w:r w:rsidRPr="000D4F3F">
              <w:rPr>
                <w:rFonts w:cs="Arial"/>
                <w:color w:val="000000"/>
                <w:sz w:val="22"/>
                <w:szCs w:val="22"/>
              </w:rPr>
              <w:t>100 fold</w:t>
            </w:r>
            <w:proofErr w:type="gramEnd"/>
            <w:r w:rsidRPr="000D4F3F">
              <w:rPr>
                <w:rFonts w:cs="Arial"/>
                <w:color w:val="000000"/>
                <w:sz w:val="22"/>
                <w:szCs w:val="22"/>
              </w:rPr>
              <w:t xml:space="preserve"> of anything we could describe as a loss.</w:t>
            </w:r>
            <w:r w:rsidRPr="000D4F3F">
              <w:rPr>
                <w:rStyle w:val="apple-converted-space"/>
                <w:rFonts w:cs="Arial"/>
                <w:color w:val="000000"/>
                <w:sz w:val="22"/>
                <w:szCs w:val="22"/>
              </w:rPr>
              <w:t> </w:t>
            </w:r>
          </w:p>
          <w:p w14:paraId="7E08D040" w14:textId="77777777" w:rsidR="00A50816" w:rsidRDefault="000D4F3F" w:rsidP="008938F4">
            <w:pPr>
              <w:rPr>
                <w:rFonts w:cs="Arial"/>
                <w:color w:val="000000"/>
                <w:sz w:val="22"/>
                <w:szCs w:val="22"/>
              </w:rPr>
            </w:pPr>
            <w:r w:rsidRPr="000D4F3F">
              <w:rPr>
                <w:rFonts w:cs="Arial"/>
                <w:color w:val="000000"/>
                <w:sz w:val="22"/>
                <w:szCs w:val="22"/>
              </w:rPr>
              <w:t>It’s also important to make it a living document and integrate it into everything, such as my contract with the board is linked to the theory of change, board reports are organized around the theory of change, our onboarding, our conferences, etc.  All our grant applications align with the theory of change, etc.  </w:t>
            </w:r>
          </w:p>
          <w:p w14:paraId="72CC0B9F" w14:textId="00F18755" w:rsidR="00A50816" w:rsidRPr="00A50816" w:rsidRDefault="00A50816" w:rsidP="00A50816">
            <w:pPr>
              <w:rPr>
                <w:color w:val="000000"/>
                <w:sz w:val="22"/>
                <w:szCs w:val="22"/>
              </w:rPr>
            </w:pPr>
            <w:r w:rsidRPr="00A50816">
              <w:rPr>
                <w:rFonts w:cs="Arial"/>
                <w:color w:val="000000"/>
                <w:sz w:val="22"/>
                <w:szCs w:val="22"/>
              </w:rPr>
              <w:t>Th</w:t>
            </w:r>
            <w:r w:rsidRPr="00A50816">
              <w:rPr>
                <w:rFonts w:cs="Arial"/>
                <w:color w:val="000000"/>
                <w:sz w:val="22"/>
                <w:szCs w:val="22"/>
              </w:rPr>
              <w:t>e lessons learned – we had people on the initial working group who we identified as the most open, ready, and willing to transformation and had the strongest muscle on risk taking, imagining, and being bold.  It was also critical to have a richly diverse group who were influencers. The positive side is that we could go bigger than if we had a group across the spectrum of enthusiasm for this kind of change, and it took a</w:t>
            </w:r>
            <w:r>
              <w:rPr>
                <w:rFonts w:cs="Arial"/>
                <w:color w:val="000000"/>
                <w:sz w:val="22"/>
                <w:szCs w:val="22"/>
              </w:rPr>
              <w:t xml:space="preserve"> </w:t>
            </w:r>
            <w:r w:rsidRPr="00A50816">
              <w:rPr>
                <w:rFonts w:cs="Arial"/>
                <w:color w:val="000000"/>
                <w:sz w:val="22"/>
                <w:szCs w:val="22"/>
              </w:rPr>
              <w:t>while for all staff and board to come along even though we shared everything along the way.  We used a graphic designer for each design meeting. </w:t>
            </w:r>
          </w:p>
          <w:p w14:paraId="369DE352" w14:textId="039C08D6" w:rsidR="00E64918" w:rsidRPr="00A50816" w:rsidRDefault="00A50816" w:rsidP="008938F4">
            <w:pPr>
              <w:rPr>
                <w:color w:val="000000"/>
                <w:sz w:val="22"/>
                <w:szCs w:val="22"/>
              </w:rPr>
            </w:pPr>
            <w:r w:rsidRPr="00A50816">
              <w:rPr>
                <w:rFonts w:cs="Arial"/>
                <w:color w:val="000000"/>
                <w:sz w:val="22"/>
                <w:szCs w:val="22"/>
              </w:rPr>
              <w:lastRenderedPageBreak/>
              <w:t> We had some staff and board peel off once we started field testing (the first year) and living into the theory of change.  Even though we were always sad for anyone to opt out, I would still strongly recommend going with the boldest group.</w:t>
            </w:r>
          </w:p>
        </w:tc>
      </w:tr>
      <w:tr w:rsidR="008938F4" w:rsidRPr="00856904" w14:paraId="43DD9E36" w14:textId="77777777" w:rsidTr="00A50816">
        <w:tc>
          <w:tcPr>
            <w:tcW w:w="1956" w:type="dxa"/>
          </w:tcPr>
          <w:p w14:paraId="09E07D92" w14:textId="1BF8CA98" w:rsidR="008938F4" w:rsidRPr="00856904" w:rsidRDefault="00C67A93" w:rsidP="008938F4">
            <w:pPr>
              <w:rPr>
                <w:color w:val="000000"/>
                <w:sz w:val="22"/>
                <w:szCs w:val="22"/>
              </w:rPr>
            </w:pPr>
            <w:r>
              <w:rPr>
                <w:sz w:val="22"/>
                <w:szCs w:val="22"/>
              </w:rPr>
              <w:lastRenderedPageBreak/>
              <w:t>Vermont</w:t>
            </w:r>
          </w:p>
          <w:p w14:paraId="043DFA5F" w14:textId="77777777" w:rsidR="008938F4" w:rsidRPr="00856904" w:rsidRDefault="008938F4" w:rsidP="008938F4">
            <w:pPr>
              <w:rPr>
                <w:sz w:val="22"/>
                <w:szCs w:val="22"/>
              </w:rPr>
            </w:pPr>
          </w:p>
        </w:tc>
        <w:tc>
          <w:tcPr>
            <w:tcW w:w="1195" w:type="dxa"/>
          </w:tcPr>
          <w:p w14:paraId="58BAC80E" w14:textId="417D88D2" w:rsidR="008938F4" w:rsidRPr="00856904" w:rsidRDefault="00C67A93" w:rsidP="008938F4">
            <w:pPr>
              <w:rPr>
                <w:sz w:val="22"/>
                <w:szCs w:val="22"/>
              </w:rPr>
            </w:pPr>
            <w:proofErr w:type="spellStart"/>
            <w:r>
              <w:rPr>
                <w:sz w:val="22"/>
                <w:szCs w:val="22"/>
              </w:rPr>
              <w:t>Lumin</w:t>
            </w:r>
            <w:r w:rsidR="000D4F3F">
              <w:rPr>
                <w:sz w:val="22"/>
                <w:szCs w:val="22"/>
              </w:rPr>
              <w:t>e</w:t>
            </w:r>
            <w:r>
              <w:rPr>
                <w:sz w:val="22"/>
                <w:szCs w:val="22"/>
              </w:rPr>
              <w:t>re</w:t>
            </w:r>
            <w:proofErr w:type="spellEnd"/>
          </w:p>
        </w:tc>
        <w:tc>
          <w:tcPr>
            <w:tcW w:w="6384" w:type="dxa"/>
          </w:tcPr>
          <w:p w14:paraId="4CA7D241" w14:textId="018D0508" w:rsidR="008938F4" w:rsidRDefault="00C67A93" w:rsidP="008938F4">
            <w:pPr>
              <w:rPr>
                <w:rFonts w:ascii="Calibri" w:hAnsi="Calibri"/>
                <w:color w:val="000000" w:themeColor="text1"/>
                <w:sz w:val="22"/>
                <w:szCs w:val="22"/>
              </w:rPr>
            </w:pPr>
            <w:r w:rsidRPr="00C67A93">
              <w:rPr>
                <w:rFonts w:ascii="Calibri" w:hAnsi="Calibri"/>
                <w:color w:val="000000" w:themeColor="text1"/>
                <w:sz w:val="22"/>
                <w:szCs w:val="22"/>
              </w:rPr>
              <w:t>O</w:t>
            </w:r>
            <w:r w:rsidRPr="00C67A93">
              <w:rPr>
                <w:rFonts w:ascii="Calibri" w:hAnsi="Calibri"/>
                <w:color w:val="000000" w:themeColor="text1"/>
                <w:sz w:val="22"/>
                <w:szCs w:val="22"/>
              </w:rPr>
              <w:t xml:space="preserve">ur approach mirrors WSCADV’s.  We are one year into our Theory of Change process and deeply engaged in testing our Theory of Change.  We used </w:t>
            </w:r>
            <w:proofErr w:type="spellStart"/>
            <w:r w:rsidRPr="00C67A93">
              <w:rPr>
                <w:rFonts w:ascii="Calibri" w:hAnsi="Calibri"/>
                <w:color w:val="000000" w:themeColor="text1"/>
                <w:sz w:val="22"/>
                <w:szCs w:val="22"/>
              </w:rPr>
              <w:t>Lumin</w:t>
            </w:r>
            <w:r w:rsidR="000D4F3F">
              <w:rPr>
                <w:rFonts w:ascii="Calibri" w:hAnsi="Calibri"/>
                <w:color w:val="000000" w:themeColor="text1"/>
                <w:sz w:val="22"/>
                <w:szCs w:val="22"/>
              </w:rPr>
              <w:t>er</w:t>
            </w:r>
            <w:r w:rsidRPr="00C67A93">
              <w:rPr>
                <w:rFonts w:ascii="Calibri" w:hAnsi="Calibri"/>
                <w:color w:val="000000" w:themeColor="text1"/>
                <w:sz w:val="22"/>
                <w:szCs w:val="22"/>
              </w:rPr>
              <w:t>e</w:t>
            </w:r>
            <w:proofErr w:type="spellEnd"/>
            <w:r w:rsidRPr="00C67A93">
              <w:rPr>
                <w:rFonts w:ascii="Calibri" w:hAnsi="Calibri"/>
                <w:color w:val="000000" w:themeColor="text1"/>
                <w:sz w:val="22"/>
                <w:szCs w:val="22"/>
              </w:rPr>
              <w:t>, a TOC group that works out of San Francisco.  And I echo Judy is saying that we have found the TOC to be a transformative structure. </w:t>
            </w:r>
          </w:p>
          <w:p w14:paraId="50D554DA" w14:textId="71A9CBF9" w:rsidR="00C67A93" w:rsidRPr="00C67A93" w:rsidRDefault="00C67A93" w:rsidP="00C67A93">
            <w:pPr>
              <w:rPr>
                <w:rFonts w:ascii="Calibri" w:hAnsi="Calibri"/>
                <w:color w:val="000000" w:themeColor="text1"/>
                <w:sz w:val="22"/>
                <w:szCs w:val="22"/>
              </w:rPr>
            </w:pPr>
            <w:r w:rsidRPr="00C67A93">
              <w:rPr>
                <w:rFonts w:ascii="Calibri" w:hAnsi="Calibri"/>
                <w:color w:val="000000" w:themeColor="text1"/>
                <w:sz w:val="22"/>
                <w:szCs w:val="22"/>
              </w:rPr>
              <w:t>We</w:t>
            </w:r>
            <w:r w:rsidRPr="00C67A93">
              <w:rPr>
                <w:rFonts w:ascii="Calibri" w:hAnsi="Calibri"/>
                <w:color w:val="000000" w:themeColor="text1"/>
                <w:sz w:val="22"/>
                <w:szCs w:val="22"/>
              </w:rPr>
              <w:t xml:space="preserve"> convened a core team from our staff and board who worked with Luminaire to frame out the various elements of the TOC, then we did the real work to fill in the frame with a group comprised of our staff and contractors, board of directors (who, are the ED’s of our membership), a few advocates from member organizations with whom we have worked on statewide projects, and various and sundry partners and stakeholders. Because our TOC is being tested it is embargoed for 2019. Some member of our board (who struggle to occupy the board role as opposed to their membership role) really hated it all. They expressed feeling blind-sided by the process and struggled to find themselves within the emergent draft.  I offer this knowing that we worked with this group for two years prior, introducing the concept of TOC, sharing information about the process, and preparing them for the moment when we would be asking them for input. If I had to do it again, I would have done the work we are doing now to change the composition of our board years ago. We reconvened the staff and the board last year to finalize the draft, which they did with few modifications.  I’m pleased with the outcome but I wish our board had been in a better place.</w:t>
            </w:r>
          </w:p>
          <w:p w14:paraId="440D0DF7" w14:textId="7F325E1B" w:rsidR="00C67A93" w:rsidRPr="00C67A93" w:rsidRDefault="00C67A93" w:rsidP="008938F4">
            <w:pPr>
              <w:rPr>
                <w:rFonts w:ascii="Calibri" w:hAnsi="Calibri"/>
                <w:color w:val="000000"/>
                <w:sz w:val="22"/>
                <w:szCs w:val="22"/>
              </w:rPr>
            </w:pPr>
            <w:r w:rsidRPr="00C67A93">
              <w:rPr>
                <w:rFonts w:ascii="Calibri" w:hAnsi="Calibri"/>
                <w:color w:val="000000" w:themeColor="text1"/>
                <w:sz w:val="22"/>
                <w:szCs w:val="22"/>
              </w:rPr>
              <w:t> And the TOC itself serves us well in all the ways Judy described.</w:t>
            </w:r>
          </w:p>
        </w:tc>
      </w:tr>
      <w:tr w:rsidR="00A50816" w:rsidRPr="00856904" w14:paraId="48A99D1E" w14:textId="77777777" w:rsidTr="00A50816">
        <w:tc>
          <w:tcPr>
            <w:tcW w:w="1956" w:type="dxa"/>
          </w:tcPr>
          <w:p w14:paraId="112F8592" w14:textId="7F0D5613" w:rsidR="00A50816" w:rsidRDefault="00A50816" w:rsidP="008938F4">
            <w:pPr>
              <w:rPr>
                <w:sz w:val="22"/>
                <w:szCs w:val="22"/>
              </w:rPr>
            </w:pPr>
            <w:r>
              <w:rPr>
                <w:sz w:val="22"/>
                <w:szCs w:val="22"/>
              </w:rPr>
              <w:t xml:space="preserve">Washington </w:t>
            </w:r>
          </w:p>
        </w:tc>
        <w:tc>
          <w:tcPr>
            <w:tcW w:w="1195" w:type="dxa"/>
          </w:tcPr>
          <w:p w14:paraId="73746CC7" w14:textId="77777777" w:rsidR="00A50816" w:rsidRDefault="00A50816" w:rsidP="008938F4">
            <w:pPr>
              <w:rPr>
                <w:sz w:val="22"/>
                <w:szCs w:val="22"/>
              </w:rPr>
            </w:pPr>
            <w:r>
              <w:rPr>
                <w:sz w:val="22"/>
                <w:szCs w:val="22"/>
              </w:rPr>
              <w:t xml:space="preserve">Michelle </w:t>
            </w:r>
            <w:proofErr w:type="spellStart"/>
            <w:r>
              <w:rPr>
                <w:sz w:val="22"/>
                <w:szCs w:val="22"/>
              </w:rPr>
              <w:t>Gislason</w:t>
            </w:r>
            <w:proofErr w:type="spellEnd"/>
          </w:p>
          <w:p w14:paraId="6723D973" w14:textId="478C92D3" w:rsidR="00A50816" w:rsidRDefault="00A50816" w:rsidP="008938F4">
            <w:pPr>
              <w:rPr>
                <w:sz w:val="22"/>
                <w:szCs w:val="22"/>
              </w:rPr>
            </w:pPr>
            <w:proofErr w:type="spellStart"/>
            <w:r>
              <w:rPr>
                <w:sz w:val="22"/>
                <w:szCs w:val="22"/>
              </w:rPr>
              <w:t>CAStrong</w:t>
            </w:r>
            <w:proofErr w:type="spellEnd"/>
            <w:r>
              <w:rPr>
                <w:sz w:val="22"/>
                <w:szCs w:val="22"/>
              </w:rPr>
              <w:t xml:space="preserve"> Field Project</w:t>
            </w:r>
          </w:p>
        </w:tc>
        <w:tc>
          <w:tcPr>
            <w:tcW w:w="6384" w:type="dxa"/>
          </w:tcPr>
          <w:p w14:paraId="652FE462" w14:textId="34E2F465" w:rsidR="00A50816" w:rsidRDefault="00A50816" w:rsidP="00A50816">
            <w:pPr>
              <w:rPr>
                <w:rFonts w:ascii="Calibri" w:hAnsi="Calibri"/>
                <w:color w:val="000000"/>
                <w:sz w:val="22"/>
                <w:szCs w:val="22"/>
              </w:rPr>
            </w:pPr>
            <w:r>
              <w:rPr>
                <w:rFonts w:ascii="Calibri" w:hAnsi="Calibri"/>
                <w:color w:val="000000"/>
                <w:sz w:val="22"/>
                <w:szCs w:val="22"/>
              </w:rPr>
              <w:t>WSCADV created a Theory of Change instead of re-doing our strategic plan. This took about two years start to finish, and was an in-depth process, but the outcome has been transformative for our coalition – board, staff, membership. The Theory of Change is scaffolding how WSCADV is making the</w:t>
            </w:r>
            <w:r>
              <w:rPr>
                <w:rStyle w:val="apple-converted-space"/>
                <w:rFonts w:ascii="Calibri" w:hAnsi="Calibri"/>
                <w:color w:val="000000"/>
                <w:sz w:val="22"/>
                <w:szCs w:val="22"/>
              </w:rPr>
              <w:t> </w:t>
            </w:r>
            <w:hyperlink r:id="rId5" w:history="1">
              <w:r>
                <w:rPr>
                  <w:rStyle w:val="Hyperlink"/>
                  <w:rFonts w:ascii="Calibri" w:hAnsi="Calibri"/>
                  <w:color w:val="954F72"/>
                  <w:sz w:val="22"/>
                  <w:szCs w:val="22"/>
                </w:rPr>
                <w:t>3 pivots</w:t>
              </w:r>
            </w:hyperlink>
            <w:r>
              <w:rPr>
                <w:rStyle w:val="apple-converted-space"/>
                <w:rFonts w:ascii="Calibri" w:hAnsi="Calibri"/>
                <w:color w:val="000000"/>
                <w:sz w:val="22"/>
                <w:szCs w:val="22"/>
              </w:rPr>
              <w:t> </w:t>
            </w:r>
            <w:r>
              <w:rPr>
                <w:rFonts w:ascii="Calibri" w:hAnsi="Calibri"/>
                <w:color w:val="000000"/>
                <w:sz w:val="22"/>
                <w:szCs w:val="22"/>
              </w:rPr>
              <w:t xml:space="preserve">necessary for our movement (identified by Move To End Violence: from reactive to pro-active, from silos to interconnection, from only social services to combining that with social change). We are now more clearly addressing root causes of violence with cornerstones of race equity, economic justice, and gender and reproductive liberation, along with working in relationship. Here is the visual representation and </w:t>
            </w:r>
            <w:proofErr w:type="spellStart"/>
            <w:r>
              <w:rPr>
                <w:rFonts w:ascii="Calibri" w:hAnsi="Calibri"/>
                <w:color w:val="000000"/>
                <w:sz w:val="22"/>
                <w:szCs w:val="22"/>
              </w:rPr>
              <w:t>FAQ:</w:t>
            </w:r>
            <w:hyperlink r:id="rId6" w:history="1">
              <w:r>
                <w:rPr>
                  <w:rStyle w:val="Hyperlink"/>
                  <w:rFonts w:ascii="Calibri" w:hAnsi="Calibri"/>
                  <w:color w:val="954F72"/>
                  <w:sz w:val="22"/>
                  <w:szCs w:val="22"/>
                </w:rPr>
                <w:t>https</w:t>
              </w:r>
              <w:proofErr w:type="spellEnd"/>
              <w:r>
                <w:rPr>
                  <w:rStyle w:val="Hyperlink"/>
                  <w:rFonts w:ascii="Calibri" w:hAnsi="Calibri"/>
                  <w:color w:val="954F72"/>
                  <w:sz w:val="22"/>
                  <w:szCs w:val="22"/>
                </w:rPr>
                <w:t>://wscadv.org/strategic-plan-annual-report/</w:t>
              </w:r>
            </w:hyperlink>
            <w:r>
              <w:rPr>
                <w:rFonts w:ascii="Calibri" w:hAnsi="Calibri"/>
                <w:color w:val="000000"/>
                <w:sz w:val="22"/>
                <w:szCs w:val="22"/>
              </w:rPr>
              <w:t>. An example of this is a major shift in our legislative advocacy from more criminal bills to options for formerly incarcerated people (including survivors) to be able to clear their records in certain circumstances.</w:t>
            </w:r>
          </w:p>
          <w:p w14:paraId="75E0D885" w14:textId="756E4265" w:rsidR="00A50816" w:rsidRDefault="00A50816" w:rsidP="00A50816">
            <w:pPr>
              <w:rPr>
                <w:rFonts w:ascii="Calibri" w:hAnsi="Calibri"/>
                <w:color w:val="000000"/>
                <w:sz w:val="22"/>
                <w:szCs w:val="22"/>
              </w:rPr>
            </w:pPr>
            <w:r>
              <w:rPr>
                <w:rFonts w:ascii="Calibri" w:hAnsi="Calibri"/>
                <w:color w:val="000000"/>
                <w:sz w:val="22"/>
                <w:szCs w:val="22"/>
              </w:rPr>
              <w:t xml:space="preserve">We interviewed a few “Theory of Change” consultants but none of them really got us, so we hired Michelle </w:t>
            </w:r>
            <w:proofErr w:type="spellStart"/>
            <w:r>
              <w:rPr>
                <w:rFonts w:ascii="Calibri" w:hAnsi="Calibri"/>
                <w:color w:val="000000"/>
                <w:sz w:val="22"/>
                <w:szCs w:val="22"/>
              </w:rPr>
              <w:t>Gislason</w:t>
            </w:r>
            <w:proofErr w:type="spellEnd"/>
            <w:r>
              <w:rPr>
                <w:rFonts w:ascii="Calibri" w:hAnsi="Calibri"/>
                <w:color w:val="000000"/>
                <w:sz w:val="22"/>
                <w:szCs w:val="22"/>
              </w:rPr>
              <w:t xml:space="preserve"> whom some of you know from the CA Strong Field project and consulting with DV/SA orgs. She is now a solo practitioner in Seattle. At her direction, we </w:t>
            </w:r>
            <w:r>
              <w:rPr>
                <w:rFonts w:ascii="Calibri" w:hAnsi="Calibri"/>
                <w:color w:val="000000"/>
                <w:sz w:val="22"/>
                <w:szCs w:val="22"/>
              </w:rPr>
              <w:lastRenderedPageBreak/>
              <w:t>formed a Board/staff committee with rural and urban membership representation. Board members were responsible for taking the Theory of Change back to their programs and getting feedback. We presented the final adopted version at our annual conference. My now-retired co-worker Tyra Lindquist and I headed up the process.</w:t>
            </w:r>
          </w:p>
          <w:p w14:paraId="0CB7E1B9" w14:textId="763E7749" w:rsidR="00A50816" w:rsidRDefault="00A50816" w:rsidP="00A50816">
            <w:pPr>
              <w:rPr>
                <w:rFonts w:ascii="Calibri" w:hAnsi="Calibri"/>
                <w:color w:val="000000"/>
                <w:sz w:val="22"/>
                <w:szCs w:val="22"/>
              </w:rPr>
            </w:pPr>
            <w:r>
              <w:rPr>
                <w:rFonts w:ascii="Calibri" w:hAnsi="Calibri"/>
                <w:color w:val="000000"/>
                <w:sz w:val="22"/>
                <w:szCs w:val="22"/>
              </w:rPr>
              <w:t>A few lessons learned: Speak/write in common language and don’t impose the vision. The written documents we struggled mightily with, and endlessly word-</w:t>
            </w:r>
            <w:proofErr w:type="spellStart"/>
            <w:r>
              <w:rPr>
                <w:rFonts w:ascii="Calibri" w:hAnsi="Calibri"/>
                <w:color w:val="000000"/>
                <w:sz w:val="22"/>
                <w:szCs w:val="22"/>
              </w:rPr>
              <w:t>smithed</w:t>
            </w:r>
            <w:proofErr w:type="spellEnd"/>
            <w:r>
              <w:rPr>
                <w:rFonts w:ascii="Calibri" w:hAnsi="Calibri"/>
                <w:color w:val="000000"/>
                <w:sz w:val="22"/>
                <w:szCs w:val="22"/>
              </w:rPr>
              <w:t>, aren’t getting used at all, only the visual. We spent maybe $15K in cash outlays (consultant, visual artist – well worth it, meetings).</w:t>
            </w:r>
            <w:r>
              <w:rPr>
                <w:rStyle w:val="apple-converted-space"/>
                <w:rFonts w:ascii="Calibri" w:hAnsi="Calibri"/>
                <w:color w:val="000000"/>
                <w:sz w:val="22"/>
                <w:szCs w:val="22"/>
              </w:rPr>
              <w:t> </w:t>
            </w:r>
          </w:p>
          <w:p w14:paraId="6559FF72" w14:textId="55731FA8" w:rsidR="00A50816" w:rsidRPr="00A50816" w:rsidRDefault="00A50816" w:rsidP="00C67A93">
            <w:pPr>
              <w:rPr>
                <w:rFonts w:ascii="Calibri" w:hAnsi="Calibri"/>
                <w:color w:val="000000"/>
                <w:sz w:val="22"/>
                <w:szCs w:val="22"/>
              </w:rPr>
            </w:pPr>
            <w:r>
              <w:rPr>
                <w:rFonts w:ascii="Calibri" w:hAnsi="Calibri"/>
                <w:color w:val="000000"/>
                <w:sz w:val="22"/>
                <w:szCs w:val="22"/>
              </w:rPr>
              <w:t>Something I didn’t anticipate: Our membership LOVES the Theory of Change, and so far, this has strengthened our relationships. What I saw as radical and somewhat woo-woo, they see as inspirational, relevant to life issues in their communities (especially rural economically struggling areas), and something that they can invite their supporters – including men – to play a role in.</w:t>
            </w:r>
            <w:bookmarkStart w:id="0" w:name="_GoBack"/>
            <w:bookmarkEnd w:id="0"/>
          </w:p>
        </w:tc>
      </w:tr>
      <w:tr w:rsidR="00C67A93" w:rsidRPr="00856904" w14:paraId="4CE99ED5" w14:textId="77777777" w:rsidTr="00A50816">
        <w:tc>
          <w:tcPr>
            <w:tcW w:w="1956" w:type="dxa"/>
          </w:tcPr>
          <w:p w14:paraId="517D95AF" w14:textId="484C5AE9" w:rsidR="00C67A93" w:rsidRDefault="00C67A93" w:rsidP="008938F4">
            <w:pPr>
              <w:rPr>
                <w:sz w:val="22"/>
                <w:szCs w:val="22"/>
              </w:rPr>
            </w:pPr>
            <w:r>
              <w:rPr>
                <w:sz w:val="22"/>
                <w:szCs w:val="22"/>
              </w:rPr>
              <w:lastRenderedPageBreak/>
              <w:t>Wisconsin</w:t>
            </w:r>
          </w:p>
        </w:tc>
        <w:tc>
          <w:tcPr>
            <w:tcW w:w="1195" w:type="dxa"/>
          </w:tcPr>
          <w:p w14:paraId="59E4328A" w14:textId="3FE9ED31" w:rsidR="00C67A93" w:rsidRDefault="00C67A93" w:rsidP="008938F4">
            <w:pPr>
              <w:rPr>
                <w:sz w:val="22"/>
                <w:szCs w:val="22"/>
              </w:rPr>
            </w:pPr>
            <w:r>
              <w:rPr>
                <w:sz w:val="22"/>
                <w:szCs w:val="22"/>
              </w:rPr>
              <w:t>Yes</w:t>
            </w:r>
          </w:p>
        </w:tc>
        <w:tc>
          <w:tcPr>
            <w:tcW w:w="6384" w:type="dxa"/>
          </w:tcPr>
          <w:p w14:paraId="19AB98FE" w14:textId="7373E19C" w:rsidR="00C67A93" w:rsidRPr="00C67A93" w:rsidRDefault="00C67A93" w:rsidP="00C67A93">
            <w:pPr>
              <w:rPr>
                <w:color w:val="000000" w:themeColor="text1"/>
                <w:sz w:val="22"/>
                <w:szCs w:val="22"/>
              </w:rPr>
            </w:pPr>
            <w:r w:rsidRPr="00C67A93">
              <w:rPr>
                <w:rFonts w:ascii="Calibri" w:hAnsi="Calibri"/>
                <w:color w:val="000000" w:themeColor="text1"/>
                <w:sz w:val="22"/>
                <w:szCs w:val="22"/>
              </w:rPr>
              <w:t>I</w:t>
            </w:r>
            <w:r w:rsidRPr="00C67A93">
              <w:rPr>
                <w:rFonts w:ascii="Calibri" w:hAnsi="Calibri"/>
                <w:color w:val="000000" w:themeColor="text1"/>
                <w:sz w:val="22"/>
                <w:szCs w:val="22"/>
              </w:rPr>
              <w:t>n Wisconsin, we developed a Theory of Social Change (attached) with the help of Karen TS and have now hired a strategic plan facilitator to operationalize it. Our planning is happening in June</w:t>
            </w:r>
            <w:r>
              <w:rPr>
                <w:rFonts w:ascii="Calibri" w:hAnsi="Calibri"/>
                <w:color w:val="000000" w:themeColor="text1"/>
                <w:sz w:val="22"/>
                <w:szCs w:val="22"/>
              </w:rPr>
              <w:t xml:space="preserve"> 2019</w:t>
            </w:r>
            <w:r w:rsidRPr="00C67A93">
              <w:rPr>
                <w:rFonts w:ascii="Calibri" w:hAnsi="Calibri"/>
                <w:color w:val="000000" w:themeColor="text1"/>
                <w:sz w:val="22"/>
                <w:szCs w:val="22"/>
              </w:rPr>
              <w:t>.</w:t>
            </w:r>
          </w:p>
          <w:p w14:paraId="2273BB6A" w14:textId="77777777" w:rsidR="00C67A93" w:rsidRPr="00C67A93" w:rsidRDefault="00C67A93" w:rsidP="008938F4">
            <w:pPr>
              <w:rPr>
                <w:rFonts w:ascii="Calibri" w:hAnsi="Calibri"/>
                <w:color w:val="000000" w:themeColor="text1"/>
                <w:sz w:val="22"/>
                <w:szCs w:val="22"/>
              </w:rPr>
            </w:pPr>
          </w:p>
        </w:tc>
      </w:tr>
    </w:tbl>
    <w:p w14:paraId="280B6385" w14:textId="77777777" w:rsidR="00674B35" w:rsidRPr="00856904" w:rsidRDefault="00674B35">
      <w:pPr>
        <w:rPr>
          <w:sz w:val="22"/>
          <w:szCs w:val="22"/>
        </w:rPr>
      </w:pPr>
    </w:p>
    <w:p w14:paraId="57F5C05A" w14:textId="77777777" w:rsidR="00674B35" w:rsidRPr="00856904" w:rsidRDefault="00674B35">
      <w:pPr>
        <w:rPr>
          <w:sz w:val="22"/>
          <w:szCs w:val="22"/>
        </w:rPr>
      </w:pPr>
    </w:p>
    <w:p w14:paraId="09E13123" w14:textId="77777777" w:rsidR="00674B35" w:rsidRPr="00856904" w:rsidRDefault="00674B35">
      <w:pPr>
        <w:rPr>
          <w:sz w:val="22"/>
          <w:szCs w:val="22"/>
        </w:rPr>
      </w:pPr>
    </w:p>
    <w:p w14:paraId="72B5C52E" w14:textId="3D2C9A29" w:rsidR="005E0236" w:rsidRPr="00856904" w:rsidRDefault="00C80483">
      <w:pPr>
        <w:rPr>
          <w:sz w:val="22"/>
          <w:szCs w:val="22"/>
        </w:rPr>
      </w:pPr>
      <w:r>
        <w:rPr>
          <w:sz w:val="22"/>
          <w:szCs w:val="22"/>
        </w:rPr>
        <w:t xml:space="preserve">This information </w:t>
      </w:r>
      <w:r w:rsidR="005E0236">
        <w:rPr>
          <w:sz w:val="22"/>
          <w:szCs w:val="22"/>
        </w:rPr>
        <w:t xml:space="preserve">reported by Coalitions through the list serve in </w:t>
      </w:r>
      <w:r w:rsidR="00C67A93">
        <w:rPr>
          <w:sz w:val="22"/>
          <w:szCs w:val="22"/>
        </w:rPr>
        <w:t>April</w:t>
      </w:r>
      <w:r w:rsidR="005E0236">
        <w:rPr>
          <w:sz w:val="22"/>
          <w:szCs w:val="22"/>
        </w:rPr>
        <w:t xml:space="preserve"> 2019.</w:t>
      </w:r>
    </w:p>
    <w:sectPr w:rsidR="005E0236" w:rsidRPr="00856904" w:rsidSect="0067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35"/>
    <w:rsid w:val="000422BA"/>
    <w:rsid w:val="000B03A2"/>
    <w:rsid w:val="000D4F3F"/>
    <w:rsid w:val="00144593"/>
    <w:rsid w:val="0018679F"/>
    <w:rsid w:val="001D49A0"/>
    <w:rsid w:val="002A5B0F"/>
    <w:rsid w:val="003A1FE9"/>
    <w:rsid w:val="004529B9"/>
    <w:rsid w:val="005E0236"/>
    <w:rsid w:val="006735B1"/>
    <w:rsid w:val="00674B35"/>
    <w:rsid w:val="006B64D7"/>
    <w:rsid w:val="006C63F5"/>
    <w:rsid w:val="007225D9"/>
    <w:rsid w:val="00755D19"/>
    <w:rsid w:val="007640B4"/>
    <w:rsid w:val="007759F9"/>
    <w:rsid w:val="00856904"/>
    <w:rsid w:val="008938F4"/>
    <w:rsid w:val="009B3D9A"/>
    <w:rsid w:val="009E41CE"/>
    <w:rsid w:val="00A177E9"/>
    <w:rsid w:val="00A25815"/>
    <w:rsid w:val="00A326E6"/>
    <w:rsid w:val="00A50816"/>
    <w:rsid w:val="00C174CC"/>
    <w:rsid w:val="00C322B4"/>
    <w:rsid w:val="00C67A93"/>
    <w:rsid w:val="00C80483"/>
    <w:rsid w:val="00D91FD6"/>
    <w:rsid w:val="00E05BBF"/>
    <w:rsid w:val="00E64918"/>
    <w:rsid w:val="00E816C2"/>
    <w:rsid w:val="00EA1B87"/>
    <w:rsid w:val="00EF0353"/>
    <w:rsid w:val="00F4043D"/>
    <w:rsid w:val="00F7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ED20"/>
  <w15:chartTrackingRefBased/>
  <w15:docId w15:val="{549B25C1-F275-F848-A30D-5B43FE09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1FD6"/>
    <w:rPr>
      <w:color w:val="0000FF"/>
      <w:u w:val="single"/>
    </w:rPr>
  </w:style>
  <w:style w:type="character" w:customStyle="1" w:styleId="apple-converted-space">
    <w:name w:val="apple-converted-space"/>
    <w:basedOn w:val="DefaultParagraphFont"/>
    <w:rsid w:val="00F4043D"/>
  </w:style>
  <w:style w:type="character" w:styleId="FollowedHyperlink">
    <w:name w:val="FollowedHyperlink"/>
    <w:basedOn w:val="DefaultParagraphFont"/>
    <w:uiPriority w:val="99"/>
    <w:semiHidden/>
    <w:unhideWhenUsed/>
    <w:rsid w:val="002A5B0F"/>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4595">
      <w:bodyDiv w:val="1"/>
      <w:marLeft w:val="0"/>
      <w:marRight w:val="0"/>
      <w:marTop w:val="0"/>
      <w:marBottom w:val="0"/>
      <w:divBdr>
        <w:top w:val="none" w:sz="0" w:space="0" w:color="auto"/>
        <w:left w:val="none" w:sz="0" w:space="0" w:color="auto"/>
        <w:bottom w:val="none" w:sz="0" w:space="0" w:color="auto"/>
        <w:right w:val="none" w:sz="0" w:space="0" w:color="auto"/>
      </w:divBdr>
    </w:div>
    <w:div w:id="194470239">
      <w:bodyDiv w:val="1"/>
      <w:marLeft w:val="0"/>
      <w:marRight w:val="0"/>
      <w:marTop w:val="0"/>
      <w:marBottom w:val="0"/>
      <w:divBdr>
        <w:top w:val="none" w:sz="0" w:space="0" w:color="auto"/>
        <w:left w:val="none" w:sz="0" w:space="0" w:color="auto"/>
        <w:bottom w:val="none" w:sz="0" w:space="0" w:color="auto"/>
        <w:right w:val="none" w:sz="0" w:space="0" w:color="auto"/>
      </w:divBdr>
    </w:div>
    <w:div w:id="248849807">
      <w:bodyDiv w:val="1"/>
      <w:marLeft w:val="0"/>
      <w:marRight w:val="0"/>
      <w:marTop w:val="0"/>
      <w:marBottom w:val="0"/>
      <w:divBdr>
        <w:top w:val="none" w:sz="0" w:space="0" w:color="auto"/>
        <w:left w:val="none" w:sz="0" w:space="0" w:color="auto"/>
        <w:bottom w:val="none" w:sz="0" w:space="0" w:color="auto"/>
        <w:right w:val="none" w:sz="0" w:space="0" w:color="auto"/>
      </w:divBdr>
    </w:div>
    <w:div w:id="253247953">
      <w:bodyDiv w:val="1"/>
      <w:marLeft w:val="0"/>
      <w:marRight w:val="0"/>
      <w:marTop w:val="0"/>
      <w:marBottom w:val="0"/>
      <w:divBdr>
        <w:top w:val="none" w:sz="0" w:space="0" w:color="auto"/>
        <w:left w:val="none" w:sz="0" w:space="0" w:color="auto"/>
        <w:bottom w:val="none" w:sz="0" w:space="0" w:color="auto"/>
        <w:right w:val="none" w:sz="0" w:space="0" w:color="auto"/>
      </w:divBdr>
    </w:div>
    <w:div w:id="342172209">
      <w:bodyDiv w:val="1"/>
      <w:marLeft w:val="0"/>
      <w:marRight w:val="0"/>
      <w:marTop w:val="0"/>
      <w:marBottom w:val="0"/>
      <w:divBdr>
        <w:top w:val="none" w:sz="0" w:space="0" w:color="auto"/>
        <w:left w:val="none" w:sz="0" w:space="0" w:color="auto"/>
        <w:bottom w:val="none" w:sz="0" w:space="0" w:color="auto"/>
        <w:right w:val="none" w:sz="0" w:space="0" w:color="auto"/>
      </w:divBdr>
    </w:div>
    <w:div w:id="504128339">
      <w:bodyDiv w:val="1"/>
      <w:marLeft w:val="0"/>
      <w:marRight w:val="0"/>
      <w:marTop w:val="0"/>
      <w:marBottom w:val="0"/>
      <w:divBdr>
        <w:top w:val="none" w:sz="0" w:space="0" w:color="auto"/>
        <w:left w:val="none" w:sz="0" w:space="0" w:color="auto"/>
        <w:bottom w:val="none" w:sz="0" w:space="0" w:color="auto"/>
        <w:right w:val="none" w:sz="0" w:space="0" w:color="auto"/>
      </w:divBdr>
    </w:div>
    <w:div w:id="549419628">
      <w:bodyDiv w:val="1"/>
      <w:marLeft w:val="0"/>
      <w:marRight w:val="0"/>
      <w:marTop w:val="0"/>
      <w:marBottom w:val="0"/>
      <w:divBdr>
        <w:top w:val="none" w:sz="0" w:space="0" w:color="auto"/>
        <w:left w:val="none" w:sz="0" w:space="0" w:color="auto"/>
        <w:bottom w:val="none" w:sz="0" w:space="0" w:color="auto"/>
        <w:right w:val="none" w:sz="0" w:space="0" w:color="auto"/>
      </w:divBdr>
    </w:div>
    <w:div w:id="658391442">
      <w:bodyDiv w:val="1"/>
      <w:marLeft w:val="0"/>
      <w:marRight w:val="0"/>
      <w:marTop w:val="0"/>
      <w:marBottom w:val="0"/>
      <w:divBdr>
        <w:top w:val="none" w:sz="0" w:space="0" w:color="auto"/>
        <w:left w:val="none" w:sz="0" w:space="0" w:color="auto"/>
        <w:bottom w:val="none" w:sz="0" w:space="0" w:color="auto"/>
        <w:right w:val="none" w:sz="0" w:space="0" w:color="auto"/>
      </w:divBdr>
    </w:div>
    <w:div w:id="681010794">
      <w:bodyDiv w:val="1"/>
      <w:marLeft w:val="0"/>
      <w:marRight w:val="0"/>
      <w:marTop w:val="0"/>
      <w:marBottom w:val="0"/>
      <w:divBdr>
        <w:top w:val="none" w:sz="0" w:space="0" w:color="auto"/>
        <w:left w:val="none" w:sz="0" w:space="0" w:color="auto"/>
        <w:bottom w:val="none" w:sz="0" w:space="0" w:color="auto"/>
        <w:right w:val="none" w:sz="0" w:space="0" w:color="auto"/>
      </w:divBdr>
    </w:div>
    <w:div w:id="831919154">
      <w:bodyDiv w:val="1"/>
      <w:marLeft w:val="0"/>
      <w:marRight w:val="0"/>
      <w:marTop w:val="0"/>
      <w:marBottom w:val="0"/>
      <w:divBdr>
        <w:top w:val="none" w:sz="0" w:space="0" w:color="auto"/>
        <w:left w:val="none" w:sz="0" w:space="0" w:color="auto"/>
        <w:bottom w:val="none" w:sz="0" w:space="0" w:color="auto"/>
        <w:right w:val="none" w:sz="0" w:space="0" w:color="auto"/>
      </w:divBdr>
    </w:div>
    <w:div w:id="1164856114">
      <w:bodyDiv w:val="1"/>
      <w:marLeft w:val="0"/>
      <w:marRight w:val="0"/>
      <w:marTop w:val="0"/>
      <w:marBottom w:val="0"/>
      <w:divBdr>
        <w:top w:val="none" w:sz="0" w:space="0" w:color="auto"/>
        <w:left w:val="none" w:sz="0" w:space="0" w:color="auto"/>
        <w:bottom w:val="none" w:sz="0" w:space="0" w:color="auto"/>
        <w:right w:val="none" w:sz="0" w:space="0" w:color="auto"/>
      </w:divBdr>
      <w:divsChild>
        <w:div w:id="107162499">
          <w:marLeft w:val="0"/>
          <w:marRight w:val="0"/>
          <w:marTop w:val="0"/>
          <w:marBottom w:val="0"/>
          <w:divBdr>
            <w:top w:val="none" w:sz="0" w:space="0" w:color="auto"/>
            <w:left w:val="none" w:sz="0" w:space="0" w:color="auto"/>
            <w:bottom w:val="none" w:sz="0" w:space="0" w:color="auto"/>
            <w:right w:val="none" w:sz="0" w:space="0" w:color="auto"/>
          </w:divBdr>
        </w:div>
        <w:div w:id="1329863171">
          <w:marLeft w:val="0"/>
          <w:marRight w:val="0"/>
          <w:marTop w:val="0"/>
          <w:marBottom w:val="0"/>
          <w:divBdr>
            <w:top w:val="none" w:sz="0" w:space="0" w:color="auto"/>
            <w:left w:val="none" w:sz="0" w:space="0" w:color="auto"/>
            <w:bottom w:val="none" w:sz="0" w:space="0" w:color="auto"/>
            <w:right w:val="none" w:sz="0" w:space="0" w:color="auto"/>
          </w:divBdr>
        </w:div>
        <w:div w:id="2127040643">
          <w:marLeft w:val="0"/>
          <w:marRight w:val="0"/>
          <w:marTop w:val="0"/>
          <w:marBottom w:val="0"/>
          <w:divBdr>
            <w:top w:val="none" w:sz="0" w:space="0" w:color="auto"/>
            <w:left w:val="none" w:sz="0" w:space="0" w:color="auto"/>
            <w:bottom w:val="none" w:sz="0" w:space="0" w:color="auto"/>
            <w:right w:val="none" w:sz="0" w:space="0" w:color="auto"/>
          </w:divBdr>
        </w:div>
        <w:div w:id="1824396908">
          <w:marLeft w:val="0"/>
          <w:marRight w:val="0"/>
          <w:marTop w:val="0"/>
          <w:marBottom w:val="0"/>
          <w:divBdr>
            <w:top w:val="none" w:sz="0" w:space="0" w:color="auto"/>
            <w:left w:val="none" w:sz="0" w:space="0" w:color="auto"/>
            <w:bottom w:val="none" w:sz="0" w:space="0" w:color="auto"/>
            <w:right w:val="none" w:sz="0" w:space="0" w:color="auto"/>
          </w:divBdr>
        </w:div>
      </w:divsChild>
    </w:div>
    <w:div w:id="1301887178">
      <w:bodyDiv w:val="1"/>
      <w:marLeft w:val="0"/>
      <w:marRight w:val="0"/>
      <w:marTop w:val="0"/>
      <w:marBottom w:val="0"/>
      <w:divBdr>
        <w:top w:val="none" w:sz="0" w:space="0" w:color="auto"/>
        <w:left w:val="none" w:sz="0" w:space="0" w:color="auto"/>
        <w:bottom w:val="none" w:sz="0" w:space="0" w:color="auto"/>
        <w:right w:val="none" w:sz="0" w:space="0" w:color="auto"/>
      </w:divBdr>
    </w:div>
    <w:div w:id="1572888287">
      <w:bodyDiv w:val="1"/>
      <w:marLeft w:val="0"/>
      <w:marRight w:val="0"/>
      <w:marTop w:val="0"/>
      <w:marBottom w:val="0"/>
      <w:divBdr>
        <w:top w:val="none" w:sz="0" w:space="0" w:color="auto"/>
        <w:left w:val="none" w:sz="0" w:space="0" w:color="auto"/>
        <w:bottom w:val="none" w:sz="0" w:space="0" w:color="auto"/>
        <w:right w:val="none" w:sz="0" w:space="0" w:color="auto"/>
      </w:divBdr>
      <w:divsChild>
        <w:div w:id="2068723877">
          <w:marLeft w:val="0"/>
          <w:marRight w:val="0"/>
          <w:marTop w:val="0"/>
          <w:marBottom w:val="0"/>
          <w:divBdr>
            <w:top w:val="none" w:sz="0" w:space="0" w:color="auto"/>
            <w:left w:val="none" w:sz="0" w:space="0" w:color="auto"/>
            <w:bottom w:val="none" w:sz="0" w:space="0" w:color="auto"/>
            <w:right w:val="none" w:sz="0" w:space="0" w:color="auto"/>
          </w:divBdr>
        </w:div>
        <w:div w:id="907233353">
          <w:marLeft w:val="0"/>
          <w:marRight w:val="0"/>
          <w:marTop w:val="0"/>
          <w:marBottom w:val="0"/>
          <w:divBdr>
            <w:top w:val="none" w:sz="0" w:space="0" w:color="auto"/>
            <w:left w:val="none" w:sz="0" w:space="0" w:color="auto"/>
            <w:bottom w:val="none" w:sz="0" w:space="0" w:color="auto"/>
            <w:right w:val="none" w:sz="0" w:space="0" w:color="auto"/>
          </w:divBdr>
        </w:div>
        <w:div w:id="1012759596">
          <w:marLeft w:val="0"/>
          <w:marRight w:val="0"/>
          <w:marTop w:val="0"/>
          <w:marBottom w:val="0"/>
          <w:divBdr>
            <w:top w:val="none" w:sz="0" w:space="0" w:color="auto"/>
            <w:left w:val="none" w:sz="0" w:space="0" w:color="auto"/>
            <w:bottom w:val="none" w:sz="0" w:space="0" w:color="auto"/>
            <w:right w:val="none" w:sz="0" w:space="0" w:color="auto"/>
          </w:divBdr>
        </w:div>
        <w:div w:id="1358430214">
          <w:marLeft w:val="0"/>
          <w:marRight w:val="0"/>
          <w:marTop w:val="0"/>
          <w:marBottom w:val="0"/>
          <w:divBdr>
            <w:top w:val="none" w:sz="0" w:space="0" w:color="auto"/>
            <w:left w:val="none" w:sz="0" w:space="0" w:color="auto"/>
            <w:bottom w:val="none" w:sz="0" w:space="0" w:color="auto"/>
            <w:right w:val="none" w:sz="0" w:space="0" w:color="auto"/>
          </w:divBdr>
        </w:div>
        <w:div w:id="1614358083">
          <w:marLeft w:val="0"/>
          <w:marRight w:val="0"/>
          <w:marTop w:val="0"/>
          <w:marBottom w:val="0"/>
          <w:divBdr>
            <w:top w:val="none" w:sz="0" w:space="0" w:color="auto"/>
            <w:left w:val="none" w:sz="0" w:space="0" w:color="auto"/>
            <w:bottom w:val="none" w:sz="0" w:space="0" w:color="auto"/>
            <w:right w:val="none" w:sz="0" w:space="0" w:color="auto"/>
          </w:divBdr>
        </w:div>
      </w:divsChild>
    </w:div>
    <w:div w:id="1580553627">
      <w:bodyDiv w:val="1"/>
      <w:marLeft w:val="0"/>
      <w:marRight w:val="0"/>
      <w:marTop w:val="0"/>
      <w:marBottom w:val="0"/>
      <w:divBdr>
        <w:top w:val="none" w:sz="0" w:space="0" w:color="auto"/>
        <w:left w:val="none" w:sz="0" w:space="0" w:color="auto"/>
        <w:bottom w:val="none" w:sz="0" w:space="0" w:color="auto"/>
        <w:right w:val="none" w:sz="0" w:space="0" w:color="auto"/>
      </w:divBdr>
    </w:div>
    <w:div w:id="1617565883">
      <w:bodyDiv w:val="1"/>
      <w:marLeft w:val="0"/>
      <w:marRight w:val="0"/>
      <w:marTop w:val="0"/>
      <w:marBottom w:val="0"/>
      <w:divBdr>
        <w:top w:val="none" w:sz="0" w:space="0" w:color="auto"/>
        <w:left w:val="none" w:sz="0" w:space="0" w:color="auto"/>
        <w:bottom w:val="none" w:sz="0" w:space="0" w:color="auto"/>
        <w:right w:val="none" w:sz="0" w:space="0" w:color="auto"/>
      </w:divBdr>
    </w:div>
    <w:div w:id="1710496719">
      <w:bodyDiv w:val="1"/>
      <w:marLeft w:val="0"/>
      <w:marRight w:val="0"/>
      <w:marTop w:val="0"/>
      <w:marBottom w:val="0"/>
      <w:divBdr>
        <w:top w:val="none" w:sz="0" w:space="0" w:color="auto"/>
        <w:left w:val="none" w:sz="0" w:space="0" w:color="auto"/>
        <w:bottom w:val="none" w:sz="0" w:space="0" w:color="auto"/>
        <w:right w:val="none" w:sz="0" w:space="0" w:color="auto"/>
      </w:divBdr>
    </w:div>
    <w:div w:id="1824658450">
      <w:bodyDiv w:val="1"/>
      <w:marLeft w:val="0"/>
      <w:marRight w:val="0"/>
      <w:marTop w:val="0"/>
      <w:marBottom w:val="0"/>
      <w:divBdr>
        <w:top w:val="none" w:sz="0" w:space="0" w:color="auto"/>
        <w:left w:val="none" w:sz="0" w:space="0" w:color="auto"/>
        <w:bottom w:val="none" w:sz="0" w:space="0" w:color="auto"/>
        <w:right w:val="none" w:sz="0" w:space="0" w:color="auto"/>
      </w:divBdr>
    </w:div>
    <w:div w:id="1836022668">
      <w:bodyDiv w:val="1"/>
      <w:marLeft w:val="0"/>
      <w:marRight w:val="0"/>
      <w:marTop w:val="0"/>
      <w:marBottom w:val="0"/>
      <w:divBdr>
        <w:top w:val="none" w:sz="0" w:space="0" w:color="auto"/>
        <w:left w:val="none" w:sz="0" w:space="0" w:color="auto"/>
        <w:bottom w:val="none" w:sz="0" w:space="0" w:color="auto"/>
        <w:right w:val="none" w:sz="0" w:space="0" w:color="auto"/>
      </w:divBdr>
    </w:div>
    <w:div w:id="1844316165">
      <w:bodyDiv w:val="1"/>
      <w:marLeft w:val="0"/>
      <w:marRight w:val="0"/>
      <w:marTop w:val="0"/>
      <w:marBottom w:val="0"/>
      <w:divBdr>
        <w:top w:val="none" w:sz="0" w:space="0" w:color="auto"/>
        <w:left w:val="none" w:sz="0" w:space="0" w:color="auto"/>
        <w:bottom w:val="none" w:sz="0" w:space="0" w:color="auto"/>
        <w:right w:val="none" w:sz="0" w:space="0" w:color="auto"/>
      </w:divBdr>
    </w:div>
    <w:div w:id="1928805173">
      <w:bodyDiv w:val="1"/>
      <w:marLeft w:val="0"/>
      <w:marRight w:val="0"/>
      <w:marTop w:val="0"/>
      <w:marBottom w:val="0"/>
      <w:divBdr>
        <w:top w:val="none" w:sz="0" w:space="0" w:color="auto"/>
        <w:left w:val="none" w:sz="0" w:space="0" w:color="auto"/>
        <w:bottom w:val="none" w:sz="0" w:space="0" w:color="auto"/>
        <w:right w:val="none" w:sz="0" w:space="0" w:color="auto"/>
      </w:divBdr>
    </w:div>
    <w:div w:id="19643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cadv.org/strategic-plan-annual-report/" TargetMode="External"/><Relationship Id="rId5" Type="http://schemas.openxmlformats.org/officeDocument/2006/relationships/hyperlink" Target="https://www.movetoendviolence.org/wp-content/uploads/2015/05/building_movement_conversations_vision.pdf"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deb@debare.com</dc:creator>
  <cp:keywords/>
  <dc:description/>
  <cp:lastModifiedBy>deb@debare.com</cp:lastModifiedBy>
  <cp:revision>4</cp:revision>
  <dcterms:created xsi:type="dcterms:W3CDTF">2019-04-25T20:29:00Z</dcterms:created>
  <dcterms:modified xsi:type="dcterms:W3CDTF">2019-04-25T20:38:00Z</dcterms:modified>
</cp:coreProperties>
</file>